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1985"/>
        <w:gridCol w:w="1196"/>
      </w:tblGrid>
      <w:tr w:rsidR="00E5757F" w14:paraId="267557E6" w14:textId="77777777" w:rsidTr="00822E7E">
        <w:tc>
          <w:tcPr>
            <w:tcW w:w="3005" w:type="dxa"/>
          </w:tcPr>
          <w:p w14:paraId="740D5424" w14:textId="77777777" w:rsidR="00E5757F" w:rsidRDefault="00E5757F" w:rsidP="00822E7E">
            <w:pPr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EB9E20D" wp14:editId="3C220236">
                  <wp:extent cx="3758400" cy="900000"/>
                  <wp:effectExtent l="0" t="0" r="0" b="0"/>
                  <wp:docPr id="14566009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4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3E61E2B0" w14:textId="77777777" w:rsidR="00E5757F" w:rsidRDefault="00E5757F" w:rsidP="00822E7E">
            <w:pPr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FBBA442" wp14:editId="5C998597">
                  <wp:extent cx="1180800" cy="900000"/>
                  <wp:effectExtent l="0" t="0" r="635" b="0"/>
                  <wp:docPr id="14713150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4C424C49" w14:textId="2571EA33" w:rsidR="00E5757F" w:rsidRDefault="009B49EB" w:rsidP="00822E7E">
            <w:pPr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7E0289" wp14:editId="061A249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525780</wp:posOffset>
                  </wp:positionV>
                  <wp:extent cx="654050" cy="140335"/>
                  <wp:effectExtent l="0" t="0" r="0" b="0"/>
                  <wp:wrapSquare wrapText="bothSides"/>
                  <wp:docPr id="1118247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A6D763" wp14:editId="1E327B93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119380</wp:posOffset>
                  </wp:positionV>
                  <wp:extent cx="384810" cy="384810"/>
                  <wp:effectExtent l="0" t="0" r="0" b="0"/>
                  <wp:wrapSquare wrapText="bothSides"/>
                  <wp:docPr id="4704738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82FE47" w14:textId="42092641" w:rsidR="006D3AB8" w:rsidRDefault="006D3AB8"/>
    <w:p w14:paraId="75E77571" w14:textId="0DB85B34" w:rsidR="00E447CA" w:rsidRDefault="00E447CA">
      <w:pPr>
        <w:rPr>
          <w:b/>
          <w:bCs/>
        </w:rPr>
      </w:pPr>
      <w:r w:rsidRPr="006D3AB8">
        <w:rPr>
          <w:b/>
          <w:bCs/>
        </w:rPr>
        <w:t>Conference 2027</w:t>
      </w:r>
      <w:r w:rsidR="006D3AB8" w:rsidRPr="006D3AB8">
        <w:rPr>
          <w:b/>
          <w:bCs/>
        </w:rPr>
        <w:t xml:space="preserve"> </w:t>
      </w:r>
      <w:r w:rsidR="00B9259E">
        <w:rPr>
          <w:b/>
          <w:bCs/>
        </w:rPr>
        <w:t>outline</w:t>
      </w:r>
      <w:r w:rsidR="00AF28DF">
        <w:rPr>
          <w:b/>
          <w:bCs/>
        </w:rPr>
        <w:t>: climate change action and sustainable development</w:t>
      </w:r>
    </w:p>
    <w:p w14:paraId="542AD1C0" w14:textId="49781217" w:rsidR="00AF28DF" w:rsidRPr="00802D18" w:rsidRDefault="00AF28DF" w:rsidP="00DC7A5D">
      <w:pPr>
        <w:pStyle w:val="ListParagraph"/>
        <w:numPr>
          <w:ilvl w:val="0"/>
          <w:numId w:val="14"/>
        </w:numPr>
      </w:pPr>
      <w:r w:rsidRPr="00802D18">
        <w:t xml:space="preserve">A possible name for the conference would be: </w:t>
      </w:r>
      <w:r w:rsidR="00802D18" w:rsidRPr="00802D18">
        <w:rPr>
          <w:i/>
          <w:iCs/>
        </w:rPr>
        <w:t xml:space="preserve"> Physics for regenerative development: equitable wellbeing on a healthy, lively planet</w:t>
      </w:r>
      <w:r w:rsidR="00802D18">
        <w:rPr>
          <w:i/>
          <w:iCs/>
        </w:rPr>
        <w:t xml:space="preserve">, </w:t>
      </w:r>
      <w:r w:rsidR="00802D18" w:rsidRPr="00802D18">
        <w:t>or an equivalent.</w:t>
      </w:r>
    </w:p>
    <w:p w14:paraId="1FE9B108" w14:textId="2DAF4EDB" w:rsidR="00E447CA" w:rsidRPr="00EE4F98" w:rsidRDefault="00E447CA">
      <w:pPr>
        <w:rPr>
          <w:b/>
          <w:bCs/>
        </w:rPr>
      </w:pPr>
      <w:r w:rsidRPr="00EE4F98">
        <w:rPr>
          <w:b/>
          <w:bCs/>
        </w:rPr>
        <w:t>Aims of the conference</w:t>
      </w:r>
    </w:p>
    <w:p w14:paraId="3CC78A9A" w14:textId="709F2DB3" w:rsidR="00C10824" w:rsidRDefault="00EE4F98" w:rsidP="00DC7A5D">
      <w:pPr>
        <w:pStyle w:val="ListParagraph"/>
        <w:numPr>
          <w:ilvl w:val="0"/>
          <w:numId w:val="15"/>
        </w:numPr>
      </w:pPr>
      <w:r>
        <w:t>P</w:t>
      </w:r>
      <w:r w:rsidR="00E447CA">
        <w:t>rovide a forum for the global physics community to engage with climate change action and sustainable development</w:t>
      </w:r>
      <w:r w:rsidR="00B9259E">
        <w:t>.</w:t>
      </w:r>
    </w:p>
    <w:p w14:paraId="41C26736" w14:textId="3015823D" w:rsidR="00EE4F98" w:rsidRPr="00EE4F98" w:rsidRDefault="00EE4F98" w:rsidP="00EE4F98">
      <w:pPr>
        <w:pStyle w:val="Heading1"/>
      </w:pPr>
      <w:r w:rsidRPr="00EE4F98">
        <w:t>Process</w:t>
      </w:r>
    </w:p>
    <w:p w14:paraId="0CD1D870" w14:textId="7FA383BF" w:rsidR="001A1FF5" w:rsidRDefault="001A1FF5" w:rsidP="00EE4F98">
      <w:pPr>
        <w:pStyle w:val="ListParagraph"/>
        <w:numPr>
          <w:ilvl w:val="1"/>
          <w:numId w:val="8"/>
        </w:numPr>
      </w:pPr>
      <w:r>
        <w:t xml:space="preserve">A call for </w:t>
      </w:r>
      <w:r w:rsidR="00F76A95">
        <w:t>expressions of interest</w:t>
      </w:r>
      <w:r>
        <w:t xml:space="preserve"> is organised by </w:t>
      </w:r>
      <w:r w:rsidR="00F76A95">
        <w:t>Working</w:t>
      </w:r>
      <w:r w:rsidR="00DA1105">
        <w:t xml:space="preserve"> </w:t>
      </w:r>
      <w:r w:rsidR="00F76A95">
        <w:t>Group 21</w:t>
      </w:r>
      <w:r>
        <w:t>.</w:t>
      </w:r>
    </w:p>
    <w:p w14:paraId="55287741" w14:textId="1A97F2FF" w:rsidR="00F76A95" w:rsidRPr="00802D18" w:rsidRDefault="00F76A95" w:rsidP="00EE4F98">
      <w:pPr>
        <w:pStyle w:val="ListParagraph"/>
        <w:numPr>
          <w:ilvl w:val="1"/>
          <w:numId w:val="8"/>
        </w:numPr>
      </w:pPr>
      <w:r w:rsidRPr="00802D18">
        <w:t>The conference may be offered to IUPAP</w:t>
      </w:r>
      <w:r w:rsidR="00E547F7" w:rsidRPr="00802D18">
        <w:t xml:space="preserve"> Executive as a possible International Conference on Physics in conjunction with the</w:t>
      </w:r>
      <w:r w:rsidR="00443337" w:rsidRPr="00802D18">
        <w:t xml:space="preserve"> call for an International Physics Conference in conjunction with the</w:t>
      </w:r>
      <w:r w:rsidR="00E547F7" w:rsidRPr="00802D18">
        <w:t xml:space="preserve"> General Assembly 2027. </w:t>
      </w:r>
      <w:r w:rsidR="00E547F7" w:rsidRPr="00802D18">
        <w:rPr>
          <w:i/>
          <w:iCs/>
        </w:rPr>
        <w:t>In this case, the IUPAP Executive Committee would be involved in decisions.</w:t>
      </w:r>
    </w:p>
    <w:p w14:paraId="331C2E15" w14:textId="33CE515B" w:rsidR="00E547F7" w:rsidRDefault="00E547F7" w:rsidP="00EE4F98">
      <w:pPr>
        <w:pStyle w:val="ListParagraph"/>
        <w:numPr>
          <w:ilvl w:val="1"/>
          <w:numId w:val="8"/>
        </w:numPr>
      </w:pPr>
      <w:r>
        <w:t>Short-listed applicants will be asked for a more detailed bid.</w:t>
      </w:r>
    </w:p>
    <w:p w14:paraId="72D1DCEE" w14:textId="7126E996" w:rsidR="001A1FF5" w:rsidRDefault="001A1FF5" w:rsidP="001A1FF5">
      <w:pPr>
        <w:pStyle w:val="ListParagraph"/>
        <w:numPr>
          <w:ilvl w:val="1"/>
          <w:numId w:val="8"/>
        </w:numPr>
      </w:pPr>
      <w:r>
        <w:t xml:space="preserve">The </w:t>
      </w:r>
      <w:r w:rsidR="00E547F7">
        <w:t>bid</w:t>
      </w:r>
      <w:r>
        <w:t xml:space="preserve"> must describe the </w:t>
      </w:r>
      <w:r w:rsidR="00EE4F98">
        <w:t>expected</w:t>
      </w:r>
      <w:r>
        <w:t xml:space="preserve"> conference structure in detail. There should be no surprises for the LOC</w:t>
      </w:r>
      <w:r w:rsidR="00E53A73">
        <w:t xml:space="preserve"> in drawing up the bid.</w:t>
      </w:r>
    </w:p>
    <w:p w14:paraId="5F23C3D4" w14:textId="2B1D4D5C" w:rsidR="00DD201F" w:rsidRDefault="001A1FF5" w:rsidP="00A35656">
      <w:pPr>
        <w:pStyle w:val="ListParagraph"/>
        <w:numPr>
          <w:ilvl w:val="1"/>
          <w:numId w:val="8"/>
        </w:numPr>
      </w:pPr>
      <w:r>
        <w:t xml:space="preserve">The IUPAP conference guidelines will be </w:t>
      </w:r>
      <w:r w:rsidR="00DD201F">
        <w:t xml:space="preserve">found at </w:t>
      </w:r>
      <w:hyperlink r:id="rId12" w:history="1">
        <w:r w:rsidR="00DD201F" w:rsidRPr="00346785">
          <w:rPr>
            <w:rStyle w:val="Hyperlink"/>
          </w:rPr>
          <w:t>https://iupap.org/conferences/conference-policies/</w:t>
        </w:r>
      </w:hyperlink>
      <w:r w:rsidR="00DD201F">
        <w:t xml:space="preserve"> . </w:t>
      </w:r>
      <w:r w:rsidR="00E575CD">
        <w:t xml:space="preserve">This is a Working Group conference and does not need to abide by the process for Commission conferences, but does need to meet the requirements of the sections on </w:t>
      </w:r>
      <w:r w:rsidR="00E575CD" w:rsidRPr="00E575CD">
        <w:t>Travel grants</w:t>
      </w:r>
      <w:r w:rsidR="00E575CD">
        <w:t xml:space="preserve">, </w:t>
      </w:r>
      <w:r w:rsidR="00E575CD" w:rsidRPr="00E575CD">
        <w:t>Participation of Women in IUPAP-supported Conferences</w:t>
      </w:r>
      <w:r w:rsidR="00E575CD">
        <w:t xml:space="preserve">, </w:t>
      </w:r>
      <w:r w:rsidR="00443337">
        <w:t>c</w:t>
      </w:r>
      <w:r w:rsidR="00E575CD" w:rsidRPr="00E575CD">
        <w:t>riteria by which applications are assessed</w:t>
      </w:r>
      <w:r w:rsidR="00E575CD">
        <w:t>.</w:t>
      </w:r>
    </w:p>
    <w:p w14:paraId="18497645" w14:textId="2306CA91" w:rsidR="00FD2733" w:rsidRDefault="00FD2733" w:rsidP="00A35656">
      <w:pPr>
        <w:pStyle w:val="ListParagraph"/>
        <w:numPr>
          <w:ilvl w:val="1"/>
          <w:numId w:val="8"/>
        </w:numPr>
      </w:pPr>
      <w:r>
        <w:t>WG21 may call for an oral presentation from short-listed applicants.</w:t>
      </w:r>
    </w:p>
    <w:p w14:paraId="0BF3844A" w14:textId="4F4B986C" w:rsidR="001A1FF5" w:rsidRPr="00802D18" w:rsidRDefault="001A1FF5" w:rsidP="00A35656">
      <w:pPr>
        <w:pStyle w:val="ListParagraph"/>
        <w:numPr>
          <w:ilvl w:val="1"/>
          <w:numId w:val="8"/>
        </w:numPr>
      </w:pPr>
      <w:r w:rsidRPr="00802D18">
        <w:t xml:space="preserve">The </w:t>
      </w:r>
      <w:r w:rsidR="006A3844" w:rsidRPr="00802D18">
        <w:t>successful host will be</w:t>
      </w:r>
      <w:r w:rsidRPr="00802D18">
        <w:t xml:space="preserve"> decided by WG21</w:t>
      </w:r>
      <w:r w:rsidR="00E547F7" w:rsidRPr="00802D18">
        <w:t xml:space="preserve"> </w:t>
      </w:r>
      <w:r w:rsidR="00802D18">
        <w:t>(</w:t>
      </w:r>
      <w:r w:rsidR="00E547F7" w:rsidRPr="00802D18">
        <w:t>and</w:t>
      </w:r>
      <w:r w:rsidR="00802D18">
        <w:t xml:space="preserve"> possibly</w:t>
      </w:r>
      <w:r w:rsidR="00E547F7" w:rsidRPr="00802D18">
        <w:t xml:space="preserve"> the IUPAP Executive Committee (EC)</w:t>
      </w:r>
      <w:r w:rsidR="00802D18">
        <w:t>)</w:t>
      </w:r>
      <w:r w:rsidR="00E547F7" w:rsidRPr="00802D18">
        <w:t>.</w:t>
      </w:r>
    </w:p>
    <w:p w14:paraId="46C51E72" w14:textId="00EA86D3" w:rsidR="00236483" w:rsidRDefault="00236483" w:rsidP="001A1FF5">
      <w:pPr>
        <w:pStyle w:val="ListParagraph"/>
        <w:numPr>
          <w:ilvl w:val="1"/>
          <w:numId w:val="8"/>
        </w:numPr>
      </w:pPr>
      <w:r>
        <w:t>Organising and scientific committees are formed as below.</w:t>
      </w:r>
    </w:p>
    <w:p w14:paraId="46BB1405" w14:textId="3087058F" w:rsidR="00EE4F98" w:rsidRDefault="00EE4F98" w:rsidP="00EE4F98">
      <w:pPr>
        <w:pStyle w:val="Heading1"/>
      </w:pPr>
      <w:r>
        <w:t>Committees</w:t>
      </w:r>
    </w:p>
    <w:p w14:paraId="08D799FB" w14:textId="4720E222" w:rsidR="001A1FF5" w:rsidRDefault="001A1FF5" w:rsidP="001A1FF5">
      <w:pPr>
        <w:pStyle w:val="ListParagraph"/>
        <w:numPr>
          <w:ilvl w:val="1"/>
          <w:numId w:val="8"/>
        </w:numPr>
      </w:pPr>
      <w:r>
        <w:t xml:space="preserve">An LOC is formed. </w:t>
      </w:r>
    </w:p>
    <w:p w14:paraId="6BF809B2" w14:textId="1E4F1054" w:rsidR="001A1FF5" w:rsidRDefault="00A538C0" w:rsidP="001A1FF5">
      <w:pPr>
        <w:pStyle w:val="ListParagraph"/>
        <w:numPr>
          <w:ilvl w:val="2"/>
          <w:numId w:val="8"/>
        </w:numPr>
      </w:pPr>
      <w:r>
        <w:t>When the bid has been awarded to a country or territory,</w:t>
      </w:r>
      <w:r w:rsidR="001A1FF5">
        <w:t xml:space="preserve"> it is likely that </w:t>
      </w:r>
      <w:r w:rsidR="00C45FF8">
        <w:t>a</w:t>
      </w:r>
      <w:r w:rsidR="001A1FF5">
        <w:t xml:space="preserve"> Bid Committee</w:t>
      </w:r>
      <w:r w:rsidR="00EE4F98">
        <w:t xml:space="preserve"> has been formed</w:t>
      </w:r>
      <w:r w:rsidR="00C45FF8">
        <w:t xml:space="preserve">, which </w:t>
      </w:r>
      <w:r w:rsidR="001A1FF5">
        <w:t>becomes the kernel of the LOC.</w:t>
      </w:r>
    </w:p>
    <w:p w14:paraId="5827E5DC" w14:textId="47299D81" w:rsidR="001A1FF5" w:rsidRDefault="001A1FF5" w:rsidP="001A1FF5">
      <w:pPr>
        <w:pStyle w:val="ListParagraph"/>
        <w:numPr>
          <w:ilvl w:val="2"/>
          <w:numId w:val="8"/>
        </w:numPr>
      </w:pPr>
      <w:r>
        <w:t>The LOC chooses opening speakers (with the inclusion of the IUPAP President and the WG21 chair, and local dignitaries) and one plenary.</w:t>
      </w:r>
    </w:p>
    <w:p w14:paraId="02E833CB" w14:textId="71C95A16" w:rsidR="001A1FF5" w:rsidRDefault="001A1FF5" w:rsidP="001A1FF5">
      <w:pPr>
        <w:pStyle w:val="ListParagraph"/>
        <w:numPr>
          <w:ilvl w:val="2"/>
          <w:numId w:val="8"/>
        </w:numPr>
      </w:pPr>
      <w:r>
        <w:t xml:space="preserve">The LOC is responsible for local fundraising. </w:t>
      </w:r>
    </w:p>
    <w:p w14:paraId="77F4298D" w14:textId="7D8C8CBA" w:rsidR="001A1FF5" w:rsidRPr="00802D18" w:rsidRDefault="001A1FF5" w:rsidP="001A1FF5">
      <w:pPr>
        <w:pStyle w:val="ListParagraph"/>
        <w:numPr>
          <w:ilvl w:val="1"/>
          <w:numId w:val="8"/>
        </w:numPr>
      </w:pPr>
      <w:r w:rsidRPr="00802D18">
        <w:t xml:space="preserve">The International </w:t>
      </w:r>
      <w:r w:rsidR="00EE4F98" w:rsidRPr="00802D18">
        <w:t>Organising</w:t>
      </w:r>
      <w:r w:rsidRPr="00802D18">
        <w:t xml:space="preserve"> Committee is WG21</w:t>
      </w:r>
      <w:r w:rsidR="00E547F7" w:rsidRPr="00802D18">
        <w:t>, possibly with</w:t>
      </w:r>
      <w:r w:rsidR="00443337" w:rsidRPr="00802D18">
        <w:t xml:space="preserve"> members of</w:t>
      </w:r>
      <w:r w:rsidR="00E547F7" w:rsidRPr="00802D18">
        <w:t xml:space="preserve"> the </w:t>
      </w:r>
      <w:r w:rsidR="00443337" w:rsidRPr="00802D18">
        <w:t>E</w:t>
      </w:r>
      <w:r w:rsidR="00E547F7" w:rsidRPr="00802D18">
        <w:t>C.</w:t>
      </w:r>
    </w:p>
    <w:p w14:paraId="15EE4CD6" w14:textId="049932F3" w:rsidR="001A1FF5" w:rsidRDefault="001A1FF5" w:rsidP="001A1FF5">
      <w:pPr>
        <w:pStyle w:val="ListParagraph"/>
        <w:numPr>
          <w:ilvl w:val="2"/>
          <w:numId w:val="8"/>
        </w:numPr>
      </w:pPr>
      <w:r>
        <w:t>The IOC chooses the balance of the plenaries. It may work with the LOC, the Commissions, and the other IUPAP W</w:t>
      </w:r>
      <w:r w:rsidR="00CE51D5">
        <w:t>orking Groups</w:t>
      </w:r>
      <w:r>
        <w:t xml:space="preserve"> if it chooses to call for nominations in the spirit of Inter</w:t>
      </w:r>
      <w:r w:rsidR="00CE51D5">
        <w:t>-</w:t>
      </w:r>
      <w:r>
        <w:t>Commission collaboration.</w:t>
      </w:r>
    </w:p>
    <w:p w14:paraId="5294FA20" w14:textId="09B1CA3C" w:rsidR="00E53A73" w:rsidRDefault="00E53A73" w:rsidP="001A1FF5">
      <w:pPr>
        <w:pStyle w:val="ListParagraph"/>
        <w:numPr>
          <w:ilvl w:val="2"/>
          <w:numId w:val="8"/>
        </w:numPr>
      </w:pPr>
      <w:r>
        <w:t>The IOC is responsible for global fundraising.</w:t>
      </w:r>
      <w:r w:rsidR="00802D18">
        <w:t xml:space="preserve"> </w:t>
      </w:r>
    </w:p>
    <w:p w14:paraId="64B52743" w14:textId="10C908D7" w:rsidR="001A1FF5" w:rsidRDefault="00EE4F98" w:rsidP="001A1FF5">
      <w:pPr>
        <w:pStyle w:val="ListParagraph"/>
        <w:numPr>
          <w:ilvl w:val="2"/>
          <w:numId w:val="8"/>
        </w:numPr>
      </w:pPr>
      <w:r>
        <w:t>The IOC may co-opt assistants.</w:t>
      </w:r>
    </w:p>
    <w:p w14:paraId="686D6648" w14:textId="546B7BD6" w:rsidR="00E80C2F" w:rsidRDefault="00E80C2F" w:rsidP="001A1FF5">
      <w:pPr>
        <w:pStyle w:val="ListParagraph"/>
        <w:numPr>
          <w:ilvl w:val="2"/>
          <w:numId w:val="8"/>
        </w:numPr>
      </w:pPr>
      <w:r>
        <w:lastRenderedPageBreak/>
        <w:t xml:space="preserve">The IOC should approve the appointment of a professional conference organising company if one is to be used. </w:t>
      </w:r>
    </w:p>
    <w:p w14:paraId="58347BF7" w14:textId="70EAF3A2" w:rsidR="006C6CA8" w:rsidRPr="0069244F" w:rsidRDefault="006C6CA8" w:rsidP="006C6CA8">
      <w:pPr>
        <w:pStyle w:val="ListParagraph"/>
        <w:numPr>
          <w:ilvl w:val="1"/>
          <w:numId w:val="8"/>
        </w:numPr>
        <w:rPr>
          <w:b/>
          <w:bCs/>
        </w:rPr>
      </w:pPr>
      <w:r w:rsidRPr="006C6CA8">
        <w:t>A Scientific Committee is formed.</w:t>
      </w:r>
    </w:p>
    <w:p w14:paraId="345F5067" w14:textId="7DAECDE0" w:rsidR="006C6CA8" w:rsidRPr="00802D18" w:rsidRDefault="00DA1105" w:rsidP="006C6CA8">
      <w:pPr>
        <w:pStyle w:val="ListParagraph"/>
        <w:numPr>
          <w:ilvl w:val="2"/>
          <w:numId w:val="8"/>
        </w:numPr>
      </w:pPr>
      <w:r w:rsidRPr="00802D18">
        <w:t>Working Group</w:t>
      </w:r>
      <w:r w:rsidR="006C6CA8" w:rsidRPr="00802D18">
        <w:t xml:space="preserve"> </w:t>
      </w:r>
      <w:r w:rsidRPr="00802D18">
        <w:t xml:space="preserve">21 </w:t>
      </w:r>
      <w:r w:rsidR="006C6CA8" w:rsidRPr="00802D18">
        <w:t>members</w:t>
      </w:r>
      <w:r w:rsidR="00443337" w:rsidRPr="00802D18">
        <w:t xml:space="preserve">, </w:t>
      </w:r>
      <w:r w:rsidR="00E547F7" w:rsidRPr="00802D18">
        <w:t>and possibly EC members</w:t>
      </w:r>
      <w:r w:rsidR="00443337" w:rsidRPr="00802D18">
        <w:t>,</w:t>
      </w:r>
      <w:r w:rsidR="006C6CA8" w:rsidRPr="00802D18">
        <w:t xml:space="preserve"> form the core of the Scientific Committee and</w:t>
      </w:r>
      <w:r w:rsidR="00CE51D5" w:rsidRPr="00802D18">
        <w:t xml:space="preserve"> may</w:t>
      </w:r>
      <w:r w:rsidR="006C6CA8" w:rsidRPr="00802D18">
        <w:t xml:space="preserve"> invite other members.</w:t>
      </w:r>
    </w:p>
    <w:p w14:paraId="67747B6D" w14:textId="06B9F8C8" w:rsidR="00D32D25" w:rsidRDefault="00236483" w:rsidP="006C6CA8">
      <w:pPr>
        <w:pStyle w:val="ListParagraph"/>
        <w:numPr>
          <w:ilvl w:val="2"/>
          <w:numId w:val="8"/>
        </w:numPr>
      </w:pPr>
      <w:r>
        <w:t>The Scientific Committee is responsible for acceptance of abstracts and papers.</w:t>
      </w:r>
    </w:p>
    <w:p w14:paraId="25C94A2C" w14:textId="67F66EE6" w:rsidR="008A7011" w:rsidRDefault="008A7011" w:rsidP="006C6CA8">
      <w:pPr>
        <w:pStyle w:val="ListParagraph"/>
        <w:numPr>
          <w:ilvl w:val="2"/>
          <w:numId w:val="8"/>
        </w:numPr>
      </w:pPr>
      <w:r>
        <w:t>The scientific scope will be agreed with the Scientific Committee.</w:t>
      </w:r>
    </w:p>
    <w:p w14:paraId="30DF6F34" w14:textId="77777777" w:rsidR="00236483" w:rsidRPr="006C6CA8" w:rsidRDefault="00236483" w:rsidP="00E5757F">
      <w:pPr>
        <w:pStyle w:val="ListParagraph"/>
        <w:ind w:left="1800"/>
      </w:pPr>
    </w:p>
    <w:p w14:paraId="3B49A2A4" w14:textId="6190CF95" w:rsidR="007D3BC9" w:rsidRDefault="007D3BC9" w:rsidP="007D3BC9">
      <w:pPr>
        <w:pStyle w:val="Heading1"/>
      </w:pPr>
      <w:r>
        <w:t>Voice</w:t>
      </w:r>
    </w:p>
    <w:p w14:paraId="6C20ED21" w14:textId="2B45CA1B" w:rsidR="00E80C2F" w:rsidRDefault="00E80C2F" w:rsidP="007D3BC9">
      <w:r>
        <w:t>This conference will be open to registration from any participant. (This is in contrast to some WG conferences, which have been by invitation.)</w:t>
      </w:r>
    </w:p>
    <w:p w14:paraId="2765D6A7" w14:textId="3321692D" w:rsidR="007D3BC9" w:rsidRDefault="007D3BC9" w:rsidP="007D3BC9">
      <w:r>
        <w:t xml:space="preserve">It is very easy for </w:t>
      </w:r>
      <w:r w:rsidR="005878CD">
        <w:t>LMIC</w:t>
      </w:r>
      <w:r w:rsidR="00815649">
        <w:rPr>
          <w:rStyle w:val="FootnoteReference"/>
        </w:rPr>
        <w:footnoteReference w:id="2"/>
      </w:r>
      <w:r w:rsidR="00815649">
        <w:t xml:space="preserve"> </w:t>
      </w:r>
      <w:r>
        <w:t xml:space="preserve">voices to dominated by high-income countries. A discussion is essential on how to make sure the voices of developing countries, island states, </w:t>
      </w:r>
      <w:r w:rsidR="00DA1105">
        <w:t xml:space="preserve">indigenous people, </w:t>
      </w:r>
      <w:r>
        <w:t>and the global South can be well heard.</w:t>
      </w:r>
    </w:p>
    <w:p w14:paraId="411073E2" w14:textId="15A9BF5D" w:rsidR="00E80C2F" w:rsidRDefault="00E80C2F" w:rsidP="007D3BC9">
      <w:r>
        <w:t xml:space="preserve">WG21 </w:t>
      </w:r>
      <w:r w:rsidR="00DA1105">
        <w:t>is developing a</w:t>
      </w:r>
      <w:r>
        <w:t xml:space="preserve"> system of “Climate contacts” across the world. Part of their function is specifically to be the main contact in a</w:t>
      </w:r>
      <w:r w:rsidR="00DA1105">
        <w:t>n IUPAP</w:t>
      </w:r>
      <w:r>
        <w:t xml:space="preserve"> member territory, or a country, for this conference. </w:t>
      </w:r>
    </w:p>
    <w:p w14:paraId="5993B47F" w14:textId="384D16C1" w:rsidR="00236483" w:rsidRDefault="00236483" w:rsidP="00236483">
      <w:pPr>
        <w:pStyle w:val="Heading1"/>
      </w:pPr>
      <w:r>
        <w:t>General principles</w:t>
      </w:r>
    </w:p>
    <w:p w14:paraId="0A2A2111" w14:textId="77777777" w:rsidR="00236483" w:rsidRDefault="00236483" w:rsidP="00236483">
      <w:r>
        <w:t>WG21-sponsored meetings should find a viable path that takes the following into account:</w:t>
      </w:r>
    </w:p>
    <w:p w14:paraId="5522D727" w14:textId="1D11ADBF" w:rsidR="00236483" w:rsidRDefault="00236483" w:rsidP="0069244F">
      <w:pPr>
        <w:pStyle w:val="ListParagraph"/>
        <w:numPr>
          <w:ilvl w:val="0"/>
          <w:numId w:val="9"/>
        </w:numPr>
      </w:pPr>
      <w:r>
        <w:t>minimise carbon footprint;</w:t>
      </w:r>
      <w:r w:rsidR="00E80C2F">
        <w:t xml:space="preserve"> set an example for future conferences;</w:t>
      </w:r>
      <w:r>
        <w:t xml:space="preserve"> take advantage of advances in technology for virtual presence, </w:t>
      </w:r>
    </w:p>
    <w:p w14:paraId="76635AAA" w14:textId="5BBFD4FC" w:rsidR="00236483" w:rsidRDefault="00236483" w:rsidP="0069244F">
      <w:pPr>
        <w:pStyle w:val="ListParagraph"/>
        <w:numPr>
          <w:ilvl w:val="0"/>
          <w:numId w:val="9"/>
        </w:numPr>
      </w:pPr>
      <w:r>
        <w:t>encourage meeting and the formation of partnerships and collaborations,</w:t>
      </w:r>
    </w:p>
    <w:p w14:paraId="05C4FA49" w14:textId="531F308B" w:rsidR="00236483" w:rsidRPr="00236483" w:rsidRDefault="00236483" w:rsidP="0069244F">
      <w:pPr>
        <w:pStyle w:val="ListParagraph"/>
        <w:numPr>
          <w:ilvl w:val="0"/>
          <w:numId w:val="9"/>
        </w:numPr>
      </w:pPr>
      <w:r>
        <w:t>encourage inclusivity; enhance the participation of developing countries, island states, and the global South.</w:t>
      </w:r>
      <w:r w:rsidR="00E80C2F">
        <w:t xml:space="preserve"> </w:t>
      </w:r>
    </w:p>
    <w:p w14:paraId="3FA48304" w14:textId="53EF4595" w:rsidR="00EE4F98" w:rsidRPr="00EE4F98" w:rsidRDefault="00E447CA" w:rsidP="00EE4F98">
      <w:pPr>
        <w:pStyle w:val="Heading1"/>
      </w:pPr>
      <w:r>
        <w:t>Structure</w:t>
      </w:r>
    </w:p>
    <w:p w14:paraId="5225FF77" w14:textId="2B02DC1C" w:rsidR="003A7C9C" w:rsidRDefault="003A7C9C" w:rsidP="00E447CA">
      <w:pPr>
        <w:pStyle w:val="ListParagraph"/>
        <w:numPr>
          <w:ilvl w:val="0"/>
          <w:numId w:val="4"/>
        </w:numPr>
      </w:pPr>
      <w:r>
        <w:t xml:space="preserve">The scope will match the WG21 </w:t>
      </w:r>
      <w:r w:rsidR="008F4FBC">
        <w:t xml:space="preserve">call </w:t>
      </w:r>
      <w:r>
        <w:t>document.</w:t>
      </w:r>
    </w:p>
    <w:p w14:paraId="2FF0803D" w14:textId="7D60E061" w:rsidR="00E447CA" w:rsidRDefault="00E447CA" w:rsidP="00E447CA">
      <w:pPr>
        <w:pStyle w:val="ListParagraph"/>
        <w:numPr>
          <w:ilvl w:val="0"/>
          <w:numId w:val="4"/>
        </w:numPr>
      </w:pPr>
      <w:r>
        <w:t xml:space="preserve">The conference </w:t>
      </w:r>
      <w:r w:rsidR="006C6CA8">
        <w:t>will be</w:t>
      </w:r>
      <w:r>
        <w:t xml:space="preserve"> hybrid</w:t>
      </w:r>
      <w:r w:rsidR="004B5462">
        <w:t>.</w:t>
      </w:r>
      <w:r w:rsidR="00EE4F98">
        <w:t xml:space="preserve"> </w:t>
      </w:r>
    </w:p>
    <w:p w14:paraId="49762764" w14:textId="20DEA60F" w:rsidR="003A7C9C" w:rsidRDefault="006C6CA8" w:rsidP="003A7C9C">
      <w:pPr>
        <w:pStyle w:val="ListParagraph"/>
        <w:numPr>
          <w:ilvl w:val="1"/>
          <w:numId w:val="4"/>
        </w:numPr>
      </w:pPr>
      <w:r>
        <w:t xml:space="preserve"> </w:t>
      </w:r>
      <w:r w:rsidR="003A7C9C">
        <w:t xml:space="preserve">An in-person </w:t>
      </w:r>
      <w:r w:rsidR="00236483">
        <w:t>component</w:t>
      </w:r>
      <w:r w:rsidR="003A7C9C">
        <w:t xml:space="preserve"> offers the opportunity for collaborations and relationships to be built across the community.</w:t>
      </w:r>
      <w:r w:rsidR="00236483">
        <w:t xml:space="preserve"> The first conference of this kind is important in forging links and exchanging experiences.</w:t>
      </w:r>
      <w:r w:rsidR="009F5A96">
        <w:t xml:space="preserve"> A disadvantage is that i</w:t>
      </w:r>
      <w:r w:rsidR="002729F1">
        <w:t xml:space="preserve">t is </w:t>
      </w:r>
      <w:r w:rsidR="009F5A96">
        <w:t>less inclusive in terms of who can come.</w:t>
      </w:r>
    </w:p>
    <w:p w14:paraId="54D1F0E8" w14:textId="331EDC4B" w:rsidR="003A7C9C" w:rsidRDefault="003A7C9C" w:rsidP="003A7C9C">
      <w:pPr>
        <w:pStyle w:val="ListParagraph"/>
        <w:numPr>
          <w:ilvl w:val="1"/>
          <w:numId w:val="4"/>
        </w:numPr>
      </w:pPr>
      <w:r>
        <w:t xml:space="preserve">A virtual </w:t>
      </w:r>
      <w:r w:rsidR="00236483">
        <w:t>component</w:t>
      </w:r>
      <w:r>
        <w:t xml:space="preserve"> offers the opportunity for people to attend who do not have funding, cannot get a visa, are physically disabled, or who cannot travel because of family or other reasons.</w:t>
      </w:r>
      <w:r w:rsidR="009963A9">
        <w:t xml:space="preserve"> It is also a greener conference.</w:t>
      </w:r>
    </w:p>
    <w:p w14:paraId="50889C6D" w14:textId="28BD1CD8" w:rsidR="00DB37AA" w:rsidRDefault="00DB37AA" w:rsidP="003A7C9C">
      <w:pPr>
        <w:pStyle w:val="ListParagraph"/>
        <w:numPr>
          <w:ilvl w:val="1"/>
          <w:numId w:val="4"/>
        </w:numPr>
      </w:pPr>
      <w:r>
        <w:t>The advantages of completely virtual conferences were noted: a green conference, setting an example.</w:t>
      </w:r>
      <w:r w:rsidR="009F5A96">
        <w:t xml:space="preserve"> Future conferences will consider the option. </w:t>
      </w:r>
    </w:p>
    <w:p w14:paraId="2FC651F9" w14:textId="2FB866AC" w:rsidR="009F5A96" w:rsidRDefault="009F5A96" w:rsidP="003A7C9C">
      <w:pPr>
        <w:pStyle w:val="ListParagraph"/>
        <w:numPr>
          <w:ilvl w:val="1"/>
          <w:numId w:val="4"/>
        </w:numPr>
      </w:pPr>
      <w:r>
        <w:t>There is funding to be raised for each aspect: travel in person, or organisation on line (“the future of conferencing”).</w:t>
      </w:r>
    </w:p>
    <w:p w14:paraId="4DD1D871" w14:textId="41F5FC6B" w:rsidR="003A7C9C" w:rsidRDefault="00236483" w:rsidP="003A7C9C">
      <w:pPr>
        <w:pStyle w:val="ListParagraph"/>
        <w:numPr>
          <w:ilvl w:val="0"/>
          <w:numId w:val="4"/>
        </w:numPr>
      </w:pPr>
      <w:r>
        <w:t>Hybrid</w:t>
      </w:r>
      <w:r w:rsidR="003A7C9C">
        <w:t xml:space="preserve"> conference</w:t>
      </w:r>
    </w:p>
    <w:p w14:paraId="70C35681" w14:textId="77777777" w:rsidR="003A7C9C" w:rsidRDefault="003A7C9C" w:rsidP="003A7C9C">
      <w:pPr>
        <w:pStyle w:val="ListParagraph"/>
        <w:numPr>
          <w:ilvl w:val="1"/>
          <w:numId w:val="4"/>
        </w:numPr>
      </w:pPr>
      <w:r w:rsidRPr="00236483">
        <w:t>A hybrid conference requires</w:t>
      </w:r>
      <w:r>
        <w:t xml:space="preserve"> proper technology and reliable internet throughout the conference. A good model is that in-person delegates bring a laptop and connect in the meeting rooms, wearing earphones.</w:t>
      </w:r>
    </w:p>
    <w:p w14:paraId="10DA81FC" w14:textId="1E223922" w:rsidR="003A7C9C" w:rsidRDefault="003A7C9C" w:rsidP="003A7C9C">
      <w:pPr>
        <w:pStyle w:val="ListParagraph"/>
        <w:numPr>
          <w:ilvl w:val="1"/>
          <w:numId w:val="4"/>
        </w:numPr>
      </w:pPr>
      <w:r>
        <w:lastRenderedPageBreak/>
        <w:t xml:space="preserve">Time zones are a major problem. The best solution so far is that </w:t>
      </w:r>
      <w:r w:rsidRPr="00E53A73">
        <w:rPr>
          <w:u w:val="single"/>
        </w:rPr>
        <w:t>not</w:t>
      </w:r>
      <w:r>
        <w:t xml:space="preserve"> all delegates attend all sessions, but recordings of all sessions are made available.</w:t>
      </w:r>
    </w:p>
    <w:p w14:paraId="29B96269" w14:textId="4DB3A575" w:rsidR="003A7C9C" w:rsidRDefault="003A7C9C" w:rsidP="003A7C9C">
      <w:pPr>
        <w:pStyle w:val="ListParagraph"/>
        <w:numPr>
          <w:ilvl w:val="1"/>
          <w:numId w:val="4"/>
        </w:numPr>
      </w:pPr>
      <w:r>
        <w:t>The Future of Conferences group in Australia carries out ongoing development in this area (</w:t>
      </w:r>
      <w:r w:rsidR="00E80C2F">
        <w:t>a contact can be arranged</w:t>
      </w:r>
      <w:r>
        <w:t xml:space="preserve">). </w:t>
      </w:r>
    </w:p>
    <w:p w14:paraId="48012305" w14:textId="6656FB78" w:rsidR="003A7C9C" w:rsidRDefault="003A7C9C" w:rsidP="003A7C9C">
      <w:pPr>
        <w:pStyle w:val="ListParagraph"/>
        <w:numPr>
          <w:ilvl w:val="1"/>
          <w:numId w:val="4"/>
        </w:numPr>
      </w:pPr>
      <w:r>
        <w:t>Translation might be considered for some sessions</w:t>
      </w:r>
      <w:r w:rsidR="00815649">
        <w:t>, depending on cost</w:t>
      </w:r>
      <w:r>
        <w:t>. French and Spanish are likely to be top languages. Informal translation by another delegate should be arranged well ahead of the conference by a speaker</w:t>
      </w:r>
      <w:r w:rsidR="00E80C2F">
        <w:t xml:space="preserve"> who needs translation.</w:t>
      </w:r>
      <w:r w:rsidR="00C136E7">
        <w:t xml:space="preserve"> Closed Captioning </w:t>
      </w:r>
      <w:r w:rsidR="00815649">
        <w:t>is sometimes</w:t>
      </w:r>
      <w:r w:rsidR="00C136E7">
        <w:t xml:space="preserve"> </w:t>
      </w:r>
      <w:r w:rsidR="00815649">
        <w:t>requested by those who are hard of hearing.</w:t>
      </w:r>
    </w:p>
    <w:p w14:paraId="6EA95E97" w14:textId="253366E1" w:rsidR="003A7C9C" w:rsidRDefault="003A7C9C" w:rsidP="003A7C9C">
      <w:pPr>
        <w:pStyle w:val="ListParagraph"/>
        <w:numPr>
          <w:ilvl w:val="1"/>
          <w:numId w:val="4"/>
        </w:numPr>
      </w:pPr>
      <w:r>
        <w:t xml:space="preserve">It is vital for delegates to be able to meet and chat outside sessions. Gathertown provides a good place for online delegates to meet and set up one-on-one, or small party, chats. </w:t>
      </w:r>
    </w:p>
    <w:p w14:paraId="3DAA653A" w14:textId="6D00E305" w:rsidR="00DA1105" w:rsidRDefault="0075003D" w:rsidP="0075003D">
      <w:pPr>
        <w:pStyle w:val="ListParagraph"/>
        <w:numPr>
          <w:ilvl w:val="1"/>
          <w:numId w:val="4"/>
        </w:numPr>
      </w:pPr>
      <w:r>
        <w:t>The Future of Meetings resources may be considered</w:t>
      </w:r>
      <w:r>
        <w:rPr>
          <w:rStyle w:val="FootnoteReference"/>
        </w:rPr>
        <w:footnoteReference w:id="3"/>
      </w:r>
      <w:r>
        <w:t>.</w:t>
      </w:r>
    </w:p>
    <w:p w14:paraId="6E1C3B05" w14:textId="26924BCE" w:rsidR="00E80C2F" w:rsidRDefault="00E80C2F" w:rsidP="00E80C2F">
      <w:pPr>
        <w:pStyle w:val="ListParagraph"/>
        <w:numPr>
          <w:ilvl w:val="0"/>
          <w:numId w:val="4"/>
        </w:numPr>
      </w:pPr>
      <w:r>
        <w:t>Satellite conferences</w:t>
      </w:r>
    </w:p>
    <w:p w14:paraId="0C99D642" w14:textId="524FB6CD" w:rsidR="00E80C2F" w:rsidRDefault="00E80C2F" w:rsidP="00E80C2F">
      <w:pPr>
        <w:pStyle w:val="ListParagraph"/>
        <w:numPr>
          <w:ilvl w:val="1"/>
          <w:numId w:val="4"/>
        </w:numPr>
      </w:pPr>
      <w:r>
        <w:t xml:space="preserve">The LOC and IOC can discuss together the possibility of setting up </w:t>
      </w:r>
      <w:r w:rsidR="00C977C5">
        <w:t xml:space="preserve">“zone inclusive” </w:t>
      </w:r>
      <w:r>
        <w:t xml:space="preserve">satellite conferences at a few locations </w:t>
      </w:r>
      <w:r w:rsidR="00DB37AA">
        <w:t>to which</w:t>
      </w:r>
      <w:r>
        <w:t xml:space="preserve"> interested people can </w:t>
      </w:r>
      <w:r w:rsidR="00DB37AA">
        <w:t>travel</w:t>
      </w:r>
      <w:r>
        <w:t xml:space="preserve"> </w:t>
      </w:r>
      <w:r w:rsidR="00DB37AA">
        <w:t>in their region</w:t>
      </w:r>
      <w:r>
        <w:t xml:space="preserve">. A small grant may be made for the support of such a satellite, depending on budget. Factors to consider are time zones and stable internet connectivity. </w:t>
      </w:r>
    </w:p>
    <w:p w14:paraId="1D5DEBC7" w14:textId="2CB3CD27" w:rsidR="00C977C5" w:rsidRDefault="00C977C5" w:rsidP="00E80C2F">
      <w:pPr>
        <w:pStyle w:val="ListParagraph"/>
        <w:numPr>
          <w:ilvl w:val="1"/>
          <w:numId w:val="4"/>
        </w:numPr>
      </w:pPr>
      <w:r>
        <w:t>The IOC must make the expectations for satellite conferences clear.</w:t>
      </w:r>
    </w:p>
    <w:p w14:paraId="05D6FFB1" w14:textId="293BDD98" w:rsidR="00C977C5" w:rsidRDefault="00C977C5" w:rsidP="00E80C2F">
      <w:pPr>
        <w:pStyle w:val="ListParagraph"/>
        <w:numPr>
          <w:ilvl w:val="1"/>
          <w:numId w:val="4"/>
        </w:numPr>
      </w:pPr>
      <w:r>
        <w:t>Expenditure must be controlled; over</w:t>
      </w:r>
      <w:r w:rsidR="005878CD">
        <w:t>-</w:t>
      </w:r>
      <w:r>
        <w:t>expenditure must be made up locally.</w:t>
      </w:r>
    </w:p>
    <w:p w14:paraId="6CE416A9" w14:textId="1F7F72BD" w:rsidR="004B5462" w:rsidRDefault="004B5462" w:rsidP="00E447CA">
      <w:pPr>
        <w:pStyle w:val="ListParagraph"/>
        <w:numPr>
          <w:ilvl w:val="0"/>
          <w:numId w:val="4"/>
        </w:numPr>
      </w:pPr>
      <w:r>
        <w:t>The conference will run for approximately 2 ½ days</w:t>
      </w:r>
    </w:p>
    <w:p w14:paraId="6F994613" w14:textId="1FA8736B" w:rsidR="004B5462" w:rsidRDefault="004B5462" w:rsidP="004B5462">
      <w:pPr>
        <w:pStyle w:val="ListParagraph"/>
        <w:numPr>
          <w:ilvl w:val="1"/>
          <w:numId w:val="4"/>
        </w:numPr>
      </w:pPr>
      <w:r>
        <w:t>Day 0: reception in the evening</w:t>
      </w:r>
    </w:p>
    <w:p w14:paraId="594FFA6A" w14:textId="72DA8A61" w:rsidR="004B5462" w:rsidRDefault="004B5462" w:rsidP="004B5462">
      <w:pPr>
        <w:pStyle w:val="ListParagraph"/>
        <w:numPr>
          <w:ilvl w:val="1"/>
          <w:numId w:val="4"/>
        </w:numPr>
      </w:pPr>
      <w:r>
        <w:t>Day 1: official opening, sessions</w:t>
      </w:r>
      <w:r w:rsidR="00E53A73">
        <w:t>, evening session if desired</w:t>
      </w:r>
    </w:p>
    <w:p w14:paraId="7ECE9F34" w14:textId="29B814EF" w:rsidR="004B5462" w:rsidRDefault="004B5462" w:rsidP="004B5462">
      <w:pPr>
        <w:pStyle w:val="ListParagraph"/>
        <w:numPr>
          <w:ilvl w:val="1"/>
          <w:numId w:val="4"/>
        </w:numPr>
      </w:pPr>
      <w:r>
        <w:t>Day 2: sessions, afternoon tour if possible, evening session if desired</w:t>
      </w:r>
    </w:p>
    <w:p w14:paraId="4811304D" w14:textId="4545B011" w:rsidR="004B5462" w:rsidRDefault="004B5462" w:rsidP="004B5462">
      <w:pPr>
        <w:pStyle w:val="ListParagraph"/>
        <w:numPr>
          <w:ilvl w:val="1"/>
          <w:numId w:val="4"/>
        </w:numPr>
      </w:pPr>
      <w:r>
        <w:t xml:space="preserve">Day 3: </w:t>
      </w:r>
      <w:r w:rsidR="00707328">
        <w:t>short sessions and closing before midday.</w:t>
      </w:r>
    </w:p>
    <w:p w14:paraId="60877C94" w14:textId="3FFE98FC" w:rsidR="00707328" w:rsidRDefault="00707328" w:rsidP="00707328">
      <w:pPr>
        <w:pStyle w:val="ListParagraph"/>
        <w:numPr>
          <w:ilvl w:val="0"/>
          <w:numId w:val="4"/>
        </w:numPr>
      </w:pPr>
      <w:r>
        <w:t>Plenaries:</w:t>
      </w:r>
      <w:r w:rsidR="00570A3F">
        <w:t xml:space="preserve"> 5-</w:t>
      </w:r>
      <w:r>
        <w:t>6 top speakers, ample time for questions</w:t>
      </w:r>
      <w:r w:rsidR="00704849">
        <w:t>.</w:t>
      </w:r>
    </w:p>
    <w:p w14:paraId="59381656" w14:textId="561AD01B" w:rsidR="00707328" w:rsidRDefault="009F5A96" w:rsidP="00707328">
      <w:pPr>
        <w:pStyle w:val="ListParagraph"/>
        <w:numPr>
          <w:ilvl w:val="0"/>
          <w:numId w:val="4"/>
        </w:numPr>
      </w:pPr>
      <w:r>
        <w:t xml:space="preserve">Special sessions: </w:t>
      </w:r>
    </w:p>
    <w:p w14:paraId="107E428F" w14:textId="5FC5A1FF" w:rsidR="00707328" w:rsidRDefault="009F5A96" w:rsidP="00707328">
      <w:pPr>
        <w:pStyle w:val="ListParagraph"/>
        <w:numPr>
          <w:ilvl w:val="1"/>
          <w:numId w:val="4"/>
        </w:numPr>
      </w:pPr>
      <w:r>
        <w:t>An open call will be issued for Special Sessions. Climate contacts are included in the call.</w:t>
      </w:r>
      <w:r w:rsidR="00CA076B">
        <w:t xml:space="preserve"> The sessions may function as a workshop or as a session for presentation of scientific papers.</w:t>
      </w:r>
    </w:p>
    <w:p w14:paraId="49DC9030" w14:textId="67810264" w:rsidR="009F5A96" w:rsidRDefault="009F5A96" w:rsidP="00707328">
      <w:pPr>
        <w:pStyle w:val="ListParagraph"/>
        <w:numPr>
          <w:ilvl w:val="1"/>
          <w:numId w:val="4"/>
        </w:numPr>
      </w:pPr>
      <w:r>
        <w:t>The proposers will be responsible for organising the sessions and for their success.</w:t>
      </w:r>
    </w:p>
    <w:p w14:paraId="25CA3A46" w14:textId="1B74311B" w:rsidR="00707328" w:rsidRDefault="009F5A96" w:rsidP="00707328">
      <w:pPr>
        <w:pStyle w:val="ListParagraph"/>
        <w:numPr>
          <w:ilvl w:val="1"/>
          <w:numId w:val="4"/>
        </w:numPr>
      </w:pPr>
      <w:r>
        <w:t>The Scientific Committee will evaluate proposals and select the Special Sessions.</w:t>
      </w:r>
      <w:r w:rsidR="00707328">
        <w:t xml:space="preserve"> </w:t>
      </w:r>
    </w:p>
    <w:p w14:paraId="1566AEEC" w14:textId="7955D698" w:rsidR="009F5A96" w:rsidRDefault="009F5A96" w:rsidP="00707328">
      <w:pPr>
        <w:pStyle w:val="ListParagraph"/>
        <w:numPr>
          <w:ilvl w:val="1"/>
          <w:numId w:val="4"/>
        </w:numPr>
      </w:pPr>
      <w:r>
        <w:t>The infrastructure is supported by WG21.</w:t>
      </w:r>
    </w:p>
    <w:p w14:paraId="7AC14B5B" w14:textId="772911A3" w:rsidR="004B5462" w:rsidRDefault="009F5A96" w:rsidP="004B5462">
      <w:pPr>
        <w:pStyle w:val="ListParagraph"/>
        <w:numPr>
          <w:ilvl w:val="1"/>
          <w:numId w:val="4"/>
        </w:numPr>
      </w:pPr>
      <w:r>
        <w:t xml:space="preserve">Special Session papers, and summaries if </w:t>
      </w:r>
      <w:r w:rsidR="002729F1">
        <w:t>required</w:t>
      </w:r>
      <w:r>
        <w:t>, will be included in the Proceedings.</w:t>
      </w:r>
    </w:p>
    <w:p w14:paraId="6F419541" w14:textId="3EBA0418" w:rsidR="004B5462" w:rsidRPr="006A3844" w:rsidRDefault="00C009CF" w:rsidP="004B5462">
      <w:pPr>
        <w:pStyle w:val="ListParagraph"/>
        <w:numPr>
          <w:ilvl w:val="0"/>
          <w:numId w:val="4"/>
        </w:numPr>
      </w:pPr>
      <w:r>
        <w:t>Contacts (“Climate</w:t>
      </w:r>
      <w:r w:rsidR="003A7C9C">
        <w:t xml:space="preserve"> contacts</w:t>
      </w:r>
      <w:r>
        <w:t>”)</w:t>
      </w:r>
      <w:r w:rsidR="003A7C9C">
        <w:t xml:space="preserve"> will be set up </w:t>
      </w:r>
      <w:r w:rsidR="00CA076B">
        <w:t xml:space="preserve">by WG21 </w:t>
      </w:r>
      <w:r w:rsidR="007D3BC9">
        <w:t xml:space="preserve">both </w:t>
      </w:r>
      <w:r w:rsidR="003A7C9C">
        <w:t xml:space="preserve">in member territories and </w:t>
      </w:r>
      <w:r w:rsidR="004B5462">
        <w:t xml:space="preserve">territories which are not members. </w:t>
      </w:r>
      <w:r>
        <w:t xml:space="preserve">The function of the Climate Contact is to communicate with the </w:t>
      </w:r>
      <w:r w:rsidR="00DA1105">
        <w:t>Working Group</w:t>
      </w:r>
      <w:r>
        <w:t xml:space="preserve"> on one hand and with interested parties in their territory/Commission/</w:t>
      </w:r>
      <w:r w:rsidR="00DA1105">
        <w:t>Working Group</w:t>
      </w:r>
      <w:r>
        <w:t xml:space="preserve"> on the other. </w:t>
      </w:r>
      <w:r w:rsidRPr="006D3AB8">
        <w:t>A Climate Contact may</w:t>
      </w:r>
      <w:r w:rsidR="006D3AB8" w:rsidRPr="006D3AB8">
        <w:t xml:space="preserve"> choose to</w:t>
      </w:r>
      <w:r w:rsidRPr="006D3AB8">
        <w:t xml:space="preserve"> be responsible for </w:t>
      </w:r>
      <w:r w:rsidR="00A538C0" w:rsidRPr="006D3AB8">
        <w:t xml:space="preserve">convening a bid committee and submitting </w:t>
      </w:r>
      <w:r w:rsidRPr="006D3AB8">
        <w:t>a conference Bid</w:t>
      </w:r>
      <w:r w:rsidR="00A538C0" w:rsidRPr="006D3AB8">
        <w:t>. They may choose to organise</w:t>
      </w:r>
      <w:r w:rsidRPr="006D3AB8">
        <w:t xml:space="preserve"> action </w:t>
      </w:r>
      <w:r w:rsidR="00A538C0" w:rsidRPr="006D3AB8">
        <w:t>through their local physical society</w:t>
      </w:r>
      <w:r w:rsidRPr="006D3AB8">
        <w:t>.</w:t>
      </w:r>
      <w:r w:rsidRPr="006A3844">
        <w:t xml:space="preserve"> There is one contact for each:</w:t>
      </w:r>
    </w:p>
    <w:p w14:paraId="6C49C7C6" w14:textId="77777777" w:rsidR="00C009CF" w:rsidRDefault="00C009CF" w:rsidP="00C009CF">
      <w:pPr>
        <w:pStyle w:val="ListParagraph"/>
        <w:numPr>
          <w:ilvl w:val="1"/>
          <w:numId w:val="4"/>
        </w:numPr>
      </w:pPr>
      <w:r>
        <w:t>Commission and affiliated Commission, Working Group and Affiliated Working Group</w:t>
      </w:r>
    </w:p>
    <w:p w14:paraId="6581DC15" w14:textId="77777777" w:rsidR="004B5462" w:rsidRDefault="00C009CF" w:rsidP="00704849">
      <w:pPr>
        <w:pStyle w:val="ListParagraph"/>
        <w:numPr>
          <w:ilvl w:val="1"/>
          <w:numId w:val="4"/>
        </w:numPr>
      </w:pPr>
      <w:r>
        <w:t>Member territory</w:t>
      </w:r>
    </w:p>
    <w:p w14:paraId="4207D680" w14:textId="71B600BF" w:rsidR="004B5462" w:rsidRDefault="00C009CF" w:rsidP="00704849">
      <w:pPr>
        <w:pStyle w:val="ListParagraph"/>
        <w:numPr>
          <w:ilvl w:val="1"/>
          <w:numId w:val="4"/>
        </w:numPr>
      </w:pPr>
      <w:r>
        <w:lastRenderedPageBreak/>
        <w:t>Any other country or territory wishing to participate in the conference</w:t>
      </w:r>
      <w:r w:rsidR="003A7C9C">
        <w:t>, one per territory</w:t>
      </w:r>
    </w:p>
    <w:p w14:paraId="0187BE03" w14:textId="54D89AF1" w:rsidR="00704849" w:rsidRDefault="00704849" w:rsidP="00704849">
      <w:pPr>
        <w:pStyle w:val="ListParagraph"/>
        <w:numPr>
          <w:ilvl w:val="1"/>
          <w:numId w:val="4"/>
        </w:numPr>
      </w:pPr>
      <w:r>
        <w:t>The costs of participation of country contacts from LMIC</w:t>
      </w:r>
      <w:r w:rsidR="002729F1">
        <w:rPr>
          <w:rStyle w:val="FootnoteReference"/>
        </w:rPr>
        <w:footnoteReference w:id="4"/>
      </w:r>
      <w:r>
        <w:t xml:space="preserve">s, and </w:t>
      </w:r>
      <w:r w:rsidR="00C009CF">
        <w:t xml:space="preserve">possibly </w:t>
      </w:r>
      <w:r>
        <w:t>some UMIC</w:t>
      </w:r>
      <w:r w:rsidR="002729F1">
        <w:rPr>
          <w:rStyle w:val="FootnoteReference"/>
        </w:rPr>
        <w:footnoteReference w:id="5"/>
      </w:r>
      <w:r>
        <w:t>s, will be covered on acceptance of an application for support by a grant</w:t>
      </w:r>
      <w:r w:rsidR="00C009CF">
        <w:t xml:space="preserve"> </w:t>
      </w:r>
      <w:r w:rsidR="00CA076B">
        <w:t xml:space="preserve">if there are sufficient funds </w:t>
      </w:r>
      <w:r w:rsidR="00C009CF">
        <w:t>(Travel Grant or Technology Grants, see below)</w:t>
      </w:r>
    </w:p>
    <w:p w14:paraId="12E1493F" w14:textId="7BF6D1A7" w:rsidR="003A7C9C" w:rsidRDefault="00704849" w:rsidP="003A7C9C">
      <w:pPr>
        <w:pStyle w:val="ListParagraph"/>
        <w:numPr>
          <w:ilvl w:val="1"/>
          <w:numId w:val="4"/>
        </w:numPr>
      </w:pPr>
      <w:r>
        <w:t>The WG21 members form the selection committee.</w:t>
      </w:r>
    </w:p>
    <w:p w14:paraId="7CD6B665" w14:textId="396178CF" w:rsidR="00815649" w:rsidRDefault="00C009CF" w:rsidP="00815649">
      <w:pPr>
        <w:pStyle w:val="ListParagraph"/>
        <w:numPr>
          <w:ilvl w:val="1"/>
          <w:numId w:val="4"/>
        </w:numPr>
      </w:pPr>
      <w:r>
        <w:t>There is one contact in order to organise communications through the Working Group. These are otherwise overwhelming.</w:t>
      </w:r>
    </w:p>
    <w:p w14:paraId="1E371B12" w14:textId="7E3356F2" w:rsidR="004D7294" w:rsidRDefault="004D7294" w:rsidP="004B5462">
      <w:pPr>
        <w:pStyle w:val="ListParagraph"/>
        <w:numPr>
          <w:ilvl w:val="0"/>
          <w:numId w:val="4"/>
        </w:numPr>
      </w:pPr>
      <w:r>
        <w:t>Papers</w:t>
      </w:r>
    </w:p>
    <w:p w14:paraId="09455194" w14:textId="18C7EA79" w:rsidR="007D3BC9" w:rsidRDefault="007D3BC9" w:rsidP="004D7294">
      <w:pPr>
        <w:pStyle w:val="ListParagraph"/>
        <w:numPr>
          <w:ilvl w:val="1"/>
          <w:numId w:val="4"/>
        </w:numPr>
      </w:pPr>
      <w:r w:rsidRPr="00A538C0">
        <w:t xml:space="preserve">Scientific </w:t>
      </w:r>
      <w:r w:rsidR="00A538C0">
        <w:t>abstracts</w:t>
      </w:r>
      <w:r w:rsidR="00A538C0" w:rsidRPr="00A538C0">
        <w:t xml:space="preserve"> </w:t>
      </w:r>
      <w:r w:rsidR="00A538C0">
        <w:t>will be submitted for review and acceptance</w:t>
      </w:r>
      <w:r>
        <w:t>.</w:t>
      </w:r>
      <w:r w:rsidR="009963A9">
        <w:t xml:space="preserve"> They may be organised in parallel </w:t>
      </w:r>
      <w:r w:rsidR="00CA076B">
        <w:t xml:space="preserve">or Special </w:t>
      </w:r>
      <w:r w:rsidR="009963A9">
        <w:t>sessions</w:t>
      </w:r>
      <w:r w:rsidR="00CA595A">
        <w:t>,</w:t>
      </w:r>
      <w:r w:rsidR="009963A9">
        <w:t xml:space="preserve"> as oral or poster contributions</w:t>
      </w:r>
      <w:r w:rsidR="00C009CF">
        <w:t>,</w:t>
      </w:r>
      <w:r w:rsidR="00CA595A">
        <w:t xml:space="preserve"> or posters with three-minute pitches</w:t>
      </w:r>
      <w:r w:rsidR="0079192D">
        <w:t>.</w:t>
      </w:r>
      <w:r w:rsidR="009963A9">
        <w:t xml:space="preserve"> </w:t>
      </w:r>
    </w:p>
    <w:p w14:paraId="6FB0EF1D" w14:textId="0D47EB7D" w:rsidR="004D7294" w:rsidRDefault="004D7294" w:rsidP="004D7294">
      <w:pPr>
        <w:pStyle w:val="ListParagraph"/>
        <w:numPr>
          <w:ilvl w:val="1"/>
          <w:numId w:val="4"/>
        </w:numPr>
      </w:pPr>
      <w:r>
        <w:t xml:space="preserve">Plenaries are asked to write a </w:t>
      </w:r>
      <w:r w:rsidR="00704849">
        <w:t xml:space="preserve">short summary </w:t>
      </w:r>
      <w:r>
        <w:t xml:space="preserve">paper. A member of the LOC may be </w:t>
      </w:r>
      <w:r w:rsidR="00704849">
        <w:t>assigned to work with the speaker to produce the paper.</w:t>
      </w:r>
    </w:p>
    <w:p w14:paraId="05A27A0A" w14:textId="0FF76CF0" w:rsidR="00704849" w:rsidRDefault="009A26DA" w:rsidP="004D7294">
      <w:pPr>
        <w:pStyle w:val="ListParagraph"/>
        <w:numPr>
          <w:ilvl w:val="1"/>
          <w:numId w:val="4"/>
        </w:numPr>
      </w:pPr>
      <w:r>
        <w:t>Progress papers are written by country contacts and outline the progress of a country or territory in terms of climate change action and sustainable development.</w:t>
      </w:r>
    </w:p>
    <w:p w14:paraId="796C3A4E" w14:textId="5E2861B0" w:rsidR="00C45FF8" w:rsidRDefault="00CA076B" w:rsidP="004D7294">
      <w:pPr>
        <w:pStyle w:val="ListParagraph"/>
        <w:numPr>
          <w:ilvl w:val="1"/>
          <w:numId w:val="4"/>
        </w:numPr>
      </w:pPr>
      <w:r>
        <w:t xml:space="preserve">Special session </w:t>
      </w:r>
      <w:r w:rsidR="00C45FF8">
        <w:t xml:space="preserve">papers are written by the </w:t>
      </w:r>
      <w:r>
        <w:t>session participants</w:t>
      </w:r>
      <w:r w:rsidR="00C45FF8">
        <w:t xml:space="preserve"> and organisers, </w:t>
      </w:r>
      <w:r w:rsidR="009963A9">
        <w:t>and</w:t>
      </w:r>
      <w:r w:rsidR="00C45FF8">
        <w:t xml:space="preserve"> speakers and facilitators may be included as authors.</w:t>
      </w:r>
    </w:p>
    <w:p w14:paraId="5BED4A36" w14:textId="79B8CEF0" w:rsidR="00707328" w:rsidRDefault="00331E1F" w:rsidP="009963A9">
      <w:pPr>
        <w:pStyle w:val="ListParagraph"/>
        <w:numPr>
          <w:ilvl w:val="1"/>
          <w:numId w:val="4"/>
        </w:numPr>
      </w:pPr>
      <w:r>
        <w:t>All progress papers are posters, with a three-minute poster pitch. The poster pitch sessions need careful organisation and good diplomacy: the best practice so far is to ask for 3 slides, and change them automatically.</w:t>
      </w:r>
    </w:p>
    <w:p w14:paraId="19B46E58" w14:textId="77777777" w:rsidR="00C009CF" w:rsidRDefault="00C009CF" w:rsidP="00C009CF">
      <w:pPr>
        <w:pStyle w:val="ListParagraph"/>
        <w:numPr>
          <w:ilvl w:val="0"/>
          <w:numId w:val="4"/>
        </w:numPr>
      </w:pPr>
      <w:r>
        <w:t>Proceedings</w:t>
      </w:r>
    </w:p>
    <w:p w14:paraId="295069F0" w14:textId="6DF37B0F" w:rsidR="00CA076B" w:rsidRDefault="00707328" w:rsidP="00707328">
      <w:pPr>
        <w:pStyle w:val="ListParagraph"/>
        <w:numPr>
          <w:ilvl w:val="1"/>
          <w:numId w:val="4"/>
        </w:numPr>
      </w:pPr>
      <w:r>
        <w:t>Proceedings are essential for the community to move forward</w:t>
      </w:r>
      <w:r w:rsidR="00CA076B">
        <w:t>; they form a record of the state of the field and are an important gateway.</w:t>
      </w:r>
    </w:p>
    <w:p w14:paraId="10869755" w14:textId="77ECBFEC" w:rsidR="00707328" w:rsidRDefault="00CA076B" w:rsidP="00707328">
      <w:pPr>
        <w:pStyle w:val="ListParagraph"/>
        <w:numPr>
          <w:ilvl w:val="1"/>
          <w:numId w:val="4"/>
        </w:numPr>
      </w:pPr>
      <w:r>
        <w:t>Proceedings</w:t>
      </w:r>
      <w:r w:rsidR="00707328">
        <w:t xml:space="preserve"> also provide a</w:t>
      </w:r>
      <w:r w:rsidR="004D7294">
        <w:t>n opportunity for young delegates and those from developing countries to produce a paper</w:t>
      </w:r>
      <w:r w:rsidR="00A538C0">
        <w:t xml:space="preserve"> for the proceedings</w:t>
      </w:r>
      <w:r w:rsidR="00704849">
        <w:t>.</w:t>
      </w:r>
    </w:p>
    <w:p w14:paraId="70A4E64A" w14:textId="4DA5441C" w:rsidR="00A538C0" w:rsidRDefault="00A538C0" w:rsidP="00707328">
      <w:pPr>
        <w:pStyle w:val="ListParagraph"/>
        <w:numPr>
          <w:ilvl w:val="1"/>
          <w:numId w:val="4"/>
        </w:numPr>
      </w:pPr>
      <w:r>
        <w:t>Only those papers for which abstracts have been accepted, and which have been presented at the conference, are eligible for review for the proceedings.</w:t>
      </w:r>
    </w:p>
    <w:p w14:paraId="082415E3" w14:textId="6BACBA50" w:rsidR="004D7294" w:rsidRDefault="00704849" w:rsidP="00707328">
      <w:pPr>
        <w:pStyle w:val="ListParagraph"/>
        <w:numPr>
          <w:ilvl w:val="1"/>
          <w:numId w:val="4"/>
        </w:numPr>
      </w:pPr>
      <w:r>
        <w:t>The work required to produce the proceedings is large</w:t>
      </w:r>
      <w:r w:rsidR="00E53A73">
        <w:t xml:space="preserve"> – comparable to the work of organising the conference</w:t>
      </w:r>
      <w:r>
        <w:t>, especially review and language editing. It is worth it in terms of IUPAP’s aims and the WG21 mandate.</w:t>
      </w:r>
    </w:p>
    <w:p w14:paraId="6D5BEA30" w14:textId="0AA3665D" w:rsidR="00CA076B" w:rsidRDefault="00CA076B" w:rsidP="00707328">
      <w:pPr>
        <w:pStyle w:val="ListParagraph"/>
        <w:numPr>
          <w:ilvl w:val="1"/>
          <w:numId w:val="4"/>
        </w:numPr>
      </w:pPr>
      <w:r>
        <w:t>WG21 is responsible for finding funding for the proceedings</w:t>
      </w:r>
      <w:r w:rsidR="0079192D">
        <w:t xml:space="preserve">, </w:t>
      </w:r>
      <w:r>
        <w:t>finding editors and publishers of the proceedings</w:t>
      </w:r>
      <w:r w:rsidR="0079192D">
        <w:t>, and overseeing the process</w:t>
      </w:r>
      <w:r>
        <w:t>.</w:t>
      </w:r>
    </w:p>
    <w:p w14:paraId="79C9E154" w14:textId="036AB272" w:rsidR="00707328" w:rsidRDefault="00704849" w:rsidP="004B5462">
      <w:pPr>
        <w:pStyle w:val="ListParagraph"/>
        <w:numPr>
          <w:ilvl w:val="0"/>
          <w:numId w:val="4"/>
        </w:numPr>
      </w:pPr>
      <w:r>
        <w:t>Output</w:t>
      </w:r>
    </w:p>
    <w:p w14:paraId="30A24EED" w14:textId="5D34E511" w:rsidR="00704849" w:rsidRDefault="00704849" w:rsidP="00704849">
      <w:pPr>
        <w:pStyle w:val="ListParagraph"/>
        <w:numPr>
          <w:ilvl w:val="1"/>
          <w:numId w:val="4"/>
        </w:numPr>
      </w:pPr>
      <w:r>
        <w:t>Proceedings</w:t>
      </w:r>
    </w:p>
    <w:p w14:paraId="72A1AB3B" w14:textId="4BC8DA16" w:rsidR="00704849" w:rsidRDefault="00704849" w:rsidP="00704849">
      <w:pPr>
        <w:pStyle w:val="ListParagraph"/>
        <w:numPr>
          <w:ilvl w:val="1"/>
          <w:numId w:val="4"/>
        </w:numPr>
      </w:pPr>
      <w:r>
        <w:t>Recommendations to be considered by (1) IUPAP WG21</w:t>
      </w:r>
      <w:r w:rsidR="00EE4F98">
        <w:t>, and</w:t>
      </w:r>
      <w:r>
        <w:t xml:space="preserve"> (2) country contacts and delegates.</w:t>
      </w:r>
    </w:p>
    <w:p w14:paraId="3454DDCF" w14:textId="041224E6" w:rsidR="00704849" w:rsidRDefault="00704849" w:rsidP="00704849">
      <w:pPr>
        <w:pStyle w:val="ListParagraph"/>
        <w:numPr>
          <w:ilvl w:val="1"/>
          <w:numId w:val="4"/>
        </w:numPr>
      </w:pPr>
      <w:r>
        <w:t>WG21 may put forward a G</w:t>
      </w:r>
      <w:r w:rsidR="00CA076B">
        <w:t xml:space="preserve">eneral </w:t>
      </w:r>
      <w:r>
        <w:t>A</w:t>
      </w:r>
      <w:r w:rsidR="00CA076B">
        <w:t>ssembly</w:t>
      </w:r>
      <w:r>
        <w:t xml:space="preserve"> resolution based on the recommendations.</w:t>
      </w:r>
    </w:p>
    <w:p w14:paraId="50D9D6FE" w14:textId="11E3B514" w:rsidR="00EE4F98" w:rsidRDefault="00EE4F98" w:rsidP="00704849">
      <w:pPr>
        <w:pStyle w:val="ListParagraph"/>
        <w:numPr>
          <w:ilvl w:val="1"/>
          <w:numId w:val="4"/>
        </w:numPr>
      </w:pPr>
      <w:r>
        <w:t>Conference reports are submitted by the LOC to WG21 and IUPAP.</w:t>
      </w:r>
    </w:p>
    <w:p w14:paraId="79A9CF12" w14:textId="0CBEE795" w:rsidR="00C45FF8" w:rsidRDefault="00C45FF8" w:rsidP="00704849">
      <w:pPr>
        <w:pStyle w:val="ListParagraph"/>
        <w:numPr>
          <w:ilvl w:val="1"/>
          <w:numId w:val="4"/>
        </w:numPr>
      </w:pPr>
      <w:r>
        <w:t>Media releases; interviews during the conference.</w:t>
      </w:r>
    </w:p>
    <w:p w14:paraId="31770136" w14:textId="66B5E786" w:rsidR="00331E1F" w:rsidRDefault="00331E1F" w:rsidP="00704849">
      <w:pPr>
        <w:pStyle w:val="ListParagraph"/>
        <w:numPr>
          <w:ilvl w:val="1"/>
          <w:numId w:val="4"/>
        </w:numPr>
      </w:pPr>
      <w:r>
        <w:t>Video</w:t>
      </w:r>
      <w:r w:rsidR="0079192D">
        <w:t xml:space="preserve"> recordings.</w:t>
      </w:r>
    </w:p>
    <w:p w14:paraId="1CCE9356" w14:textId="77777777" w:rsidR="00E547F7" w:rsidRDefault="00E547F7" w:rsidP="00E547F7">
      <w:pPr>
        <w:pStyle w:val="ListParagraph"/>
        <w:ind w:left="1440"/>
      </w:pPr>
    </w:p>
    <w:p w14:paraId="114D2108" w14:textId="77777777" w:rsidR="00E547F7" w:rsidRDefault="00E547F7" w:rsidP="00E547F7">
      <w:pPr>
        <w:pStyle w:val="ListParagraph"/>
        <w:ind w:left="1440"/>
      </w:pPr>
    </w:p>
    <w:p w14:paraId="256BB5F3" w14:textId="77777777" w:rsidR="00E547F7" w:rsidRDefault="00E547F7" w:rsidP="00E547F7">
      <w:pPr>
        <w:pStyle w:val="ListParagraph"/>
        <w:ind w:left="1440"/>
      </w:pPr>
    </w:p>
    <w:p w14:paraId="4A14EC80" w14:textId="5FD6B72A" w:rsidR="00704849" w:rsidRDefault="00704849" w:rsidP="00704849">
      <w:pPr>
        <w:pStyle w:val="ListParagraph"/>
        <w:numPr>
          <w:ilvl w:val="0"/>
          <w:numId w:val="4"/>
        </w:numPr>
      </w:pPr>
      <w:r>
        <w:lastRenderedPageBreak/>
        <w:t>Sponsors</w:t>
      </w:r>
    </w:p>
    <w:p w14:paraId="70A714AF" w14:textId="7C48B5E0" w:rsidR="00EE4F98" w:rsidRDefault="00EE4F98" w:rsidP="00EE4F98">
      <w:pPr>
        <w:pStyle w:val="ListParagraph"/>
        <w:numPr>
          <w:ilvl w:val="1"/>
          <w:numId w:val="4"/>
        </w:numPr>
      </w:pPr>
      <w:r>
        <w:t>Sponsor acknowledgement is essential. Sponsors may require time to speak</w:t>
      </w:r>
      <w:r w:rsidR="00C45FF8">
        <w:t xml:space="preserve"> or space </w:t>
      </w:r>
      <w:r w:rsidR="00331E1F">
        <w:t>i</w:t>
      </w:r>
      <w:r w:rsidR="00C45FF8">
        <w:t xml:space="preserve">n which to exhibit, </w:t>
      </w:r>
      <w:r>
        <w:t>which will be organised by the LOC.</w:t>
      </w:r>
      <w:r w:rsidR="00C45FF8">
        <w:t xml:space="preserve"> Sponsor logos appear on banners and in</w:t>
      </w:r>
      <w:r>
        <w:t xml:space="preserve"> </w:t>
      </w:r>
      <w:r w:rsidR="00C45FF8">
        <w:t xml:space="preserve">proceedings. </w:t>
      </w:r>
      <w:r>
        <w:t>Letters of thanks are sent to the sponsors</w:t>
      </w:r>
      <w:r w:rsidR="0079192D">
        <w:t xml:space="preserve"> by the LOC</w:t>
      </w:r>
      <w:r>
        <w:t>.</w:t>
      </w:r>
    </w:p>
    <w:p w14:paraId="01BF8FE9" w14:textId="2E179C2A" w:rsidR="00E53A73" w:rsidRDefault="00E53A73" w:rsidP="00E53A73">
      <w:pPr>
        <w:pStyle w:val="ListParagraph"/>
        <w:numPr>
          <w:ilvl w:val="0"/>
          <w:numId w:val="4"/>
        </w:numPr>
      </w:pPr>
      <w:r>
        <w:t>Roles</w:t>
      </w:r>
    </w:p>
    <w:p w14:paraId="4935F4E7" w14:textId="5B866FBB" w:rsidR="00E53A73" w:rsidRDefault="00E53A73" w:rsidP="00E53A73">
      <w:pPr>
        <w:pStyle w:val="ListParagraph"/>
        <w:numPr>
          <w:ilvl w:val="1"/>
          <w:numId w:val="4"/>
        </w:numPr>
      </w:pPr>
      <w:r>
        <w:t>Early career physicists should be encouraged to be co-chairs of sessions.</w:t>
      </w:r>
    </w:p>
    <w:p w14:paraId="433EF885" w14:textId="77777777" w:rsidR="00382564" w:rsidRDefault="00E53A73" w:rsidP="003A7C9C">
      <w:pPr>
        <w:pStyle w:val="ListParagraph"/>
        <w:numPr>
          <w:ilvl w:val="1"/>
          <w:numId w:val="4"/>
        </w:numPr>
      </w:pPr>
      <w:r>
        <w:t>Local physics students should be encouraged to be helpers at the conference.</w:t>
      </w:r>
    </w:p>
    <w:p w14:paraId="075D1623" w14:textId="1A81CE6E" w:rsidR="003A7C9C" w:rsidRDefault="00CA076B" w:rsidP="00D32D25">
      <w:pPr>
        <w:pStyle w:val="ListParagraph"/>
        <w:numPr>
          <w:ilvl w:val="1"/>
          <w:numId w:val="4"/>
        </w:numPr>
      </w:pPr>
      <w:r>
        <w:t xml:space="preserve">Students and early career participants will need an </w:t>
      </w:r>
      <w:r w:rsidR="00C977C5">
        <w:t>organised</w:t>
      </w:r>
      <w:r>
        <w:t xml:space="preserve"> space which they own and in which they can hold their own discussions.</w:t>
      </w:r>
    </w:p>
    <w:p w14:paraId="23D46748" w14:textId="77777777" w:rsidR="00E547F7" w:rsidRDefault="00E547F7" w:rsidP="00E547F7">
      <w:pPr>
        <w:pStyle w:val="ListParagraph"/>
        <w:ind w:left="1440"/>
      </w:pPr>
    </w:p>
    <w:p w14:paraId="32D9A1FB" w14:textId="0656AC62" w:rsidR="00C45FF8" w:rsidRDefault="00C45FF8" w:rsidP="00C45FF8">
      <w:pPr>
        <w:pStyle w:val="ListParagraph"/>
        <w:numPr>
          <w:ilvl w:val="0"/>
          <w:numId w:val="4"/>
        </w:numPr>
      </w:pPr>
      <w:r>
        <w:t>Visas</w:t>
      </w:r>
      <w:r w:rsidR="00331E1F">
        <w:t xml:space="preserve"> and timing</w:t>
      </w:r>
    </w:p>
    <w:p w14:paraId="0A791974" w14:textId="7B932B5E" w:rsidR="00C45FF8" w:rsidRDefault="00C45FF8" w:rsidP="00C45FF8">
      <w:pPr>
        <w:pStyle w:val="ListParagraph"/>
        <w:numPr>
          <w:ilvl w:val="1"/>
          <w:numId w:val="4"/>
        </w:numPr>
      </w:pPr>
      <w:r>
        <w:t xml:space="preserve">Countries with </w:t>
      </w:r>
      <w:r w:rsidR="00331E1F">
        <w:t>easier visa regulations</w:t>
      </w:r>
      <w:r w:rsidR="00C977C5">
        <w:t xml:space="preserve"> have an advantage, and electronic visas are very helpful.</w:t>
      </w:r>
    </w:p>
    <w:p w14:paraId="2B357811" w14:textId="01AD5A79" w:rsidR="00331E1F" w:rsidRDefault="00331E1F" w:rsidP="00C45FF8">
      <w:pPr>
        <w:pStyle w:val="ListParagraph"/>
        <w:numPr>
          <w:ilvl w:val="1"/>
          <w:numId w:val="4"/>
        </w:numPr>
      </w:pPr>
      <w:r w:rsidRPr="003A7C9C">
        <w:rPr>
          <w:u w:val="single"/>
        </w:rPr>
        <w:t>The call has to be issued unusually early</w:t>
      </w:r>
      <w:r>
        <w:t xml:space="preserve"> for in-person or hybrid conferences, since </w:t>
      </w:r>
      <w:r w:rsidR="003A7C9C">
        <w:t xml:space="preserve">for LMIC countries </w:t>
      </w:r>
      <w:r>
        <w:t xml:space="preserve">the sequence of events is: submit abstract, </w:t>
      </w:r>
      <w:r w:rsidR="003A7C9C">
        <w:t xml:space="preserve">submit travel/technology grant application, </w:t>
      </w:r>
      <w:r>
        <w:t xml:space="preserve">abstract acceptance, </w:t>
      </w:r>
      <w:r w:rsidR="003A7C9C">
        <w:t xml:space="preserve">grant acceptance, apply for visa. </w:t>
      </w:r>
    </w:p>
    <w:p w14:paraId="348AB11C" w14:textId="0982C64C" w:rsidR="00A34F06" w:rsidRDefault="00A34F06" w:rsidP="00A34F06">
      <w:pPr>
        <w:pStyle w:val="ListParagraph"/>
        <w:numPr>
          <w:ilvl w:val="0"/>
          <w:numId w:val="4"/>
        </w:numPr>
      </w:pPr>
      <w:r>
        <w:t>Social programme and discussion time</w:t>
      </w:r>
    </w:p>
    <w:p w14:paraId="3ED605B6" w14:textId="39D9B932" w:rsidR="00A34F06" w:rsidRDefault="00A34F06" w:rsidP="00A34F06">
      <w:pPr>
        <w:pStyle w:val="ListParagraph"/>
        <w:numPr>
          <w:ilvl w:val="1"/>
          <w:numId w:val="4"/>
        </w:numPr>
      </w:pPr>
      <w:r>
        <w:t>These are vital, and will be programmed in. Events in the virtual space can be planned in with Gathertown or a similar tool.</w:t>
      </w:r>
    </w:p>
    <w:p w14:paraId="539BEA6C" w14:textId="77777777" w:rsidR="00EE4F98" w:rsidRDefault="00EE4F98" w:rsidP="00EE4F98">
      <w:pPr>
        <w:pStyle w:val="Heading1"/>
      </w:pPr>
      <w:r>
        <w:t>Funding</w:t>
      </w:r>
    </w:p>
    <w:p w14:paraId="2CBBA0B9" w14:textId="77777777" w:rsidR="0079192D" w:rsidRDefault="0079192D" w:rsidP="0069244F">
      <w:pPr>
        <w:pStyle w:val="ListParagraph"/>
        <w:numPr>
          <w:ilvl w:val="0"/>
          <w:numId w:val="10"/>
        </w:numPr>
      </w:pPr>
      <w:r>
        <w:t>Given the extent of Travel and Technology Grants, and proceedings, it is essential to find sponsors. IUPAP will provide some funding which can assist in leveraging sponsorship.</w:t>
      </w:r>
    </w:p>
    <w:p w14:paraId="7A6532FA" w14:textId="6D8264FB" w:rsidR="00E447CA" w:rsidRDefault="00E447CA" w:rsidP="0069244F">
      <w:pPr>
        <w:pStyle w:val="ListParagraph"/>
        <w:numPr>
          <w:ilvl w:val="0"/>
          <w:numId w:val="11"/>
        </w:numPr>
      </w:pPr>
      <w:r>
        <w:t>Because developing countries (LMIC</w:t>
      </w:r>
      <w:r w:rsidR="00AD1E95">
        <w:t>s</w:t>
      </w:r>
      <w:r>
        <w:t xml:space="preserve">) are involved, </w:t>
      </w:r>
      <w:r w:rsidRPr="0069244F">
        <w:rPr>
          <w:u w:val="single"/>
        </w:rPr>
        <w:t>travel or technology grants</w:t>
      </w:r>
      <w:r>
        <w:t xml:space="preserve"> are neede</w:t>
      </w:r>
      <w:r w:rsidR="004B5462">
        <w:t>d.</w:t>
      </w:r>
    </w:p>
    <w:p w14:paraId="16331BDF" w14:textId="54BD9C44" w:rsidR="00C977C5" w:rsidRDefault="00C977C5" w:rsidP="0069244F">
      <w:pPr>
        <w:pStyle w:val="ListParagraph"/>
        <w:numPr>
          <w:ilvl w:val="1"/>
          <w:numId w:val="11"/>
        </w:numPr>
      </w:pPr>
      <w:r>
        <w:t>Early fund raising is essential, and govern</w:t>
      </w:r>
      <w:r w:rsidR="0079192D">
        <w:t>s</w:t>
      </w:r>
      <w:r>
        <w:t xml:space="preserve"> decisions on </w:t>
      </w:r>
      <w:r w:rsidR="0079192D">
        <w:t>what</w:t>
      </w:r>
      <w:r>
        <w:t xml:space="preserve"> grants can be afforded.</w:t>
      </w:r>
    </w:p>
    <w:p w14:paraId="4E368DB3" w14:textId="4F8BB4CC" w:rsidR="00C977C5" w:rsidRDefault="00C977C5" w:rsidP="0079192D">
      <w:pPr>
        <w:pStyle w:val="ListParagraph"/>
        <w:numPr>
          <w:ilvl w:val="1"/>
          <w:numId w:val="11"/>
        </w:numPr>
      </w:pPr>
      <w:r>
        <w:t>Funding for editing and production of proceedings is essential. Language and scientific writing editing may be needed.</w:t>
      </w:r>
    </w:p>
    <w:p w14:paraId="1FA59BC7" w14:textId="6D451DC5" w:rsidR="0079192D" w:rsidRDefault="0079192D" w:rsidP="0069244F">
      <w:pPr>
        <w:pStyle w:val="ListParagraph"/>
        <w:numPr>
          <w:ilvl w:val="1"/>
          <w:numId w:val="11"/>
        </w:numPr>
      </w:pPr>
      <w:r>
        <w:t>Funding for the virtual part of the conference is needed, including videos that can be viewed by those in widely separated time zones.</w:t>
      </w:r>
    </w:p>
    <w:p w14:paraId="59F49380" w14:textId="71877370" w:rsidR="00E447CA" w:rsidRDefault="00E53A73" w:rsidP="0069244F">
      <w:pPr>
        <w:pStyle w:val="ListParagraph"/>
        <w:numPr>
          <w:ilvl w:val="1"/>
          <w:numId w:val="11"/>
        </w:numPr>
      </w:pPr>
      <w:r>
        <w:t>I</w:t>
      </w:r>
      <w:r w:rsidR="00E447CA">
        <w:t>n-person</w:t>
      </w:r>
      <w:r>
        <w:t xml:space="preserve"> or </w:t>
      </w:r>
      <w:r w:rsidR="00C45FF8">
        <w:t xml:space="preserve">in-person delegates at a </w:t>
      </w:r>
      <w:r>
        <w:t>hybrid</w:t>
      </w:r>
      <w:r w:rsidR="00C45FF8">
        <w:t xml:space="preserve"> meeting</w:t>
      </w:r>
      <w:r w:rsidR="006A4CFA">
        <w:t xml:space="preserve">, </w:t>
      </w:r>
      <w:r w:rsidR="006A4CFA" w:rsidRPr="0069244F">
        <w:rPr>
          <w:u w:val="single"/>
        </w:rPr>
        <w:t>Travel grants</w:t>
      </w:r>
      <w:r w:rsidR="00E447CA">
        <w:t xml:space="preserve">: for LMIC </w:t>
      </w:r>
      <w:r w:rsidR="006A4CFA">
        <w:t xml:space="preserve">climate </w:t>
      </w:r>
      <w:r w:rsidR="00E447CA">
        <w:t>contacts, all costs</w:t>
      </w:r>
      <w:r>
        <w:t xml:space="preserve"> should be covered</w:t>
      </w:r>
      <w:r w:rsidR="00E447CA">
        <w:t xml:space="preserve"> except visa and ground travel in the home country</w:t>
      </w:r>
      <w:r>
        <w:t xml:space="preserve">. Costs include registration, </w:t>
      </w:r>
      <w:r w:rsidR="00E447CA">
        <w:t>air, ground travel at the destination, all meals at the conference</w:t>
      </w:r>
      <w:r>
        <w:t>.</w:t>
      </w:r>
      <w:r w:rsidR="00C45FF8">
        <w:t xml:space="preserve"> A call for applications is issued. If funds permit, other delegates applying in the same call may be funded.</w:t>
      </w:r>
      <w:r w:rsidR="00331E1F">
        <w:t xml:space="preserve"> </w:t>
      </w:r>
      <w:r w:rsidR="006A4CFA">
        <w:t xml:space="preserve">The </w:t>
      </w:r>
      <w:r w:rsidR="00DA1105">
        <w:t>Working Group</w:t>
      </w:r>
      <w:r w:rsidR="006A4CFA">
        <w:t xml:space="preserve"> is the selection committee. Selection depends on the budget available.</w:t>
      </w:r>
      <w:r w:rsidR="00382564">
        <w:t xml:space="preserve"> </w:t>
      </w:r>
    </w:p>
    <w:p w14:paraId="15B4F344" w14:textId="3B0574EE" w:rsidR="00331E1F" w:rsidRDefault="00331E1F" w:rsidP="0069244F">
      <w:pPr>
        <w:pStyle w:val="ListParagraph"/>
        <w:numPr>
          <w:ilvl w:val="1"/>
          <w:numId w:val="11"/>
        </w:numPr>
      </w:pPr>
      <w:r>
        <w:t>In-person or hybrid: all costs of plenary speakers are covered for economy class travel</w:t>
      </w:r>
      <w:r w:rsidR="0079192D">
        <w:t>, with the exception of visa costs.</w:t>
      </w:r>
    </w:p>
    <w:p w14:paraId="7E6D0DF2" w14:textId="277E664F" w:rsidR="004B5462" w:rsidRDefault="00E53A73" w:rsidP="0069244F">
      <w:pPr>
        <w:pStyle w:val="ListParagraph"/>
        <w:numPr>
          <w:ilvl w:val="1"/>
          <w:numId w:val="11"/>
        </w:numPr>
      </w:pPr>
      <w:r>
        <w:t xml:space="preserve">Virtual or </w:t>
      </w:r>
      <w:r w:rsidR="004B5462">
        <w:t>hybrid:</w:t>
      </w:r>
      <w:r w:rsidR="004B5462" w:rsidRPr="0069244F">
        <w:rPr>
          <w:u w:val="single"/>
        </w:rPr>
        <w:t xml:space="preserve"> technology grants</w:t>
      </w:r>
      <w:r w:rsidR="004B5462">
        <w:t xml:space="preserve"> </w:t>
      </w:r>
      <w:r>
        <w:t>should be offered</w:t>
      </w:r>
      <w:r w:rsidR="004B5462">
        <w:t xml:space="preserve"> cover the cost of a router, or internet connection and data, or a big screen</w:t>
      </w:r>
      <w:r>
        <w:t xml:space="preserve"> for use in a</w:t>
      </w:r>
      <w:r w:rsidR="0079192D">
        <w:t xml:space="preserve"> satellite conference at </w:t>
      </w:r>
      <w:r w:rsidR="004B5462">
        <w:t>a local destination where people can gather and participate in the conference together.</w:t>
      </w:r>
    </w:p>
    <w:p w14:paraId="2C924DEA" w14:textId="5A8C9CD6" w:rsidR="009963A9" w:rsidRDefault="009963A9" w:rsidP="0069244F">
      <w:pPr>
        <w:pStyle w:val="ListParagraph"/>
        <w:numPr>
          <w:ilvl w:val="1"/>
          <w:numId w:val="11"/>
        </w:numPr>
      </w:pPr>
      <w:r>
        <w:t>Virtual and hybrid conferences, properly managed, can have significant costs.</w:t>
      </w:r>
    </w:p>
    <w:p w14:paraId="35D668C0" w14:textId="5B19A3E3" w:rsidR="00382564" w:rsidRDefault="00382564" w:rsidP="0069244F">
      <w:pPr>
        <w:pStyle w:val="ListParagraph"/>
        <w:numPr>
          <w:ilvl w:val="1"/>
          <w:numId w:val="11"/>
        </w:numPr>
      </w:pPr>
      <w:r>
        <w:t xml:space="preserve">Satellite conferences </w:t>
      </w:r>
      <w:r w:rsidR="0079192D">
        <w:t>must have</w:t>
      </w:r>
      <w:r>
        <w:t xml:space="preserve"> best possible interaction planned in</w:t>
      </w:r>
      <w:r w:rsidR="0079192D">
        <w:t xml:space="preserve"> from the beginning; an example is to make it possible for questions to be asked and answered live.</w:t>
      </w:r>
      <w:r>
        <w:t xml:space="preserve"> </w:t>
      </w:r>
      <w:r w:rsidR="0079192D">
        <w:t xml:space="preserve">A </w:t>
      </w:r>
      <w:r>
        <w:t xml:space="preserve">small grant for </w:t>
      </w:r>
      <w:r w:rsidR="0079192D">
        <w:t>a meal may be made.</w:t>
      </w:r>
    </w:p>
    <w:p w14:paraId="7130A99B" w14:textId="5313A90E" w:rsidR="004B5462" w:rsidRDefault="009963A9" w:rsidP="0069244F">
      <w:pPr>
        <w:pStyle w:val="ListParagraph"/>
        <w:numPr>
          <w:ilvl w:val="0"/>
          <w:numId w:val="11"/>
        </w:numPr>
      </w:pPr>
      <w:r>
        <w:t xml:space="preserve">Sponsorship has to be organised unusually early, in view of </w:t>
      </w:r>
      <w:r w:rsidR="0079192D">
        <w:t xml:space="preserve">decisions on </w:t>
      </w:r>
      <w:r>
        <w:t>travel/technology grants.</w:t>
      </w:r>
    </w:p>
    <w:p w14:paraId="2F0FA6C5" w14:textId="77777777" w:rsidR="00E547F7" w:rsidRDefault="00E547F7" w:rsidP="00E547F7">
      <w:pPr>
        <w:pStyle w:val="ListParagraph"/>
      </w:pPr>
    </w:p>
    <w:p w14:paraId="7B59A04F" w14:textId="444A2DAF" w:rsidR="001A1FF5" w:rsidRDefault="001A1FF5" w:rsidP="0069244F">
      <w:pPr>
        <w:pStyle w:val="ListParagraph"/>
        <w:numPr>
          <w:ilvl w:val="0"/>
          <w:numId w:val="11"/>
        </w:numPr>
      </w:pPr>
      <w:r>
        <w:t>Budgeting, Proceeds and Debts</w:t>
      </w:r>
    </w:p>
    <w:p w14:paraId="1BA58DD8" w14:textId="77777777" w:rsidR="001A1FF5" w:rsidRDefault="001A1FF5" w:rsidP="0069244F">
      <w:pPr>
        <w:pStyle w:val="ListParagraph"/>
        <w:numPr>
          <w:ilvl w:val="1"/>
          <w:numId w:val="11"/>
        </w:numPr>
      </w:pPr>
      <w:r>
        <w:t>The LOC provides an initial budget to the IOC for approval.</w:t>
      </w:r>
    </w:p>
    <w:p w14:paraId="2707E9AC" w14:textId="77777777" w:rsidR="00987959" w:rsidRDefault="00987959" w:rsidP="00987959">
      <w:pPr>
        <w:pStyle w:val="ListParagraph"/>
        <w:numPr>
          <w:ilvl w:val="1"/>
          <w:numId w:val="11"/>
        </w:numPr>
      </w:pPr>
      <w:r>
        <w:t>The budget could be based on 250</w:t>
      </w:r>
      <w:r>
        <w:rPr>
          <w:rFonts w:ascii="Aptos" w:hAnsi="Aptos"/>
        </w:rPr>
        <w:t>±</w:t>
      </w:r>
      <w:r>
        <w:t>50 participants.</w:t>
      </w:r>
    </w:p>
    <w:p w14:paraId="37274B1F" w14:textId="7C0BB4A4" w:rsidR="00EE4F98" w:rsidRDefault="00EE4F98" w:rsidP="0069244F">
      <w:pPr>
        <w:pStyle w:val="ListParagraph"/>
        <w:numPr>
          <w:ilvl w:val="1"/>
          <w:numId w:val="11"/>
        </w:numPr>
      </w:pPr>
      <w:r>
        <w:t>The LOC is responsible for</w:t>
      </w:r>
      <w:r w:rsidR="009963A9">
        <w:t xml:space="preserve"> monitoring </w:t>
      </w:r>
      <w:r>
        <w:t>expenditure and accounting</w:t>
      </w:r>
      <w:r w:rsidR="009963A9">
        <w:t xml:space="preserve"> and regularly updating the IOC.</w:t>
      </w:r>
    </w:p>
    <w:p w14:paraId="0D4F9D41" w14:textId="68D58C56" w:rsidR="001A1FF5" w:rsidRDefault="001A1FF5" w:rsidP="0069244F">
      <w:pPr>
        <w:pStyle w:val="ListParagraph"/>
        <w:numPr>
          <w:ilvl w:val="1"/>
          <w:numId w:val="11"/>
        </w:numPr>
      </w:pPr>
      <w:r>
        <w:t>Any changes proposed by the LOC or IOC must be discussed with and agreed to by the IOC or LOC respectivel</w:t>
      </w:r>
      <w:r w:rsidR="00EE4F98">
        <w:t>y.</w:t>
      </w:r>
    </w:p>
    <w:p w14:paraId="0E076E5F" w14:textId="5A027A16" w:rsidR="001A1FF5" w:rsidRDefault="001A1FF5" w:rsidP="0069244F">
      <w:pPr>
        <w:pStyle w:val="ListParagraph"/>
        <w:numPr>
          <w:ilvl w:val="1"/>
          <w:numId w:val="11"/>
        </w:numPr>
      </w:pPr>
      <w:r>
        <w:t xml:space="preserve">It is essential to have an extremely clear written </w:t>
      </w:r>
      <w:r w:rsidR="00307D36">
        <w:t>agreement</w:t>
      </w:r>
      <w:r>
        <w:t xml:space="preserve"> of who keeps any </w:t>
      </w:r>
      <w:r w:rsidR="00307D36">
        <w:t>surplus</w:t>
      </w:r>
      <w:r>
        <w:t xml:space="preserve">. It is suggested that the LOC keeps </w:t>
      </w:r>
      <w:r w:rsidR="00307D36">
        <w:t>any surplus</w:t>
      </w:r>
      <w:r>
        <w:t xml:space="preserve"> of LOC fundraising and </w:t>
      </w:r>
      <w:r w:rsidR="00307D36">
        <w:t xml:space="preserve">WG21 keeps </w:t>
      </w:r>
      <w:r>
        <w:t>IOC fundraising</w:t>
      </w:r>
      <w:r w:rsidR="00307D36">
        <w:t xml:space="preserve"> surplus</w:t>
      </w:r>
      <w:r>
        <w:t xml:space="preserve">. </w:t>
      </w:r>
    </w:p>
    <w:p w14:paraId="1E4E9B38" w14:textId="7FCA20FE" w:rsidR="00C73C07" w:rsidRDefault="00307D36" w:rsidP="0069244F">
      <w:pPr>
        <w:pStyle w:val="ListParagraph"/>
        <w:numPr>
          <w:ilvl w:val="1"/>
          <w:numId w:val="11"/>
        </w:numPr>
      </w:pPr>
      <w:r>
        <w:t>The potential for a conference</w:t>
      </w:r>
      <w:r w:rsidR="00C73C07">
        <w:t xml:space="preserve"> debt must be </w:t>
      </w:r>
      <w:r>
        <w:t xml:space="preserve">very </w:t>
      </w:r>
      <w:r w:rsidR="00C73C07">
        <w:t>carefully managed.</w:t>
      </w:r>
    </w:p>
    <w:p w14:paraId="3A254ADD" w14:textId="77777777" w:rsidR="00E547F7" w:rsidRDefault="00E547F7" w:rsidP="00E547F7">
      <w:pPr>
        <w:pStyle w:val="ListParagraph"/>
        <w:ind w:left="1440"/>
      </w:pPr>
    </w:p>
    <w:p w14:paraId="24DE622E" w14:textId="5756E7C7" w:rsidR="00E80C2F" w:rsidRDefault="00E80C2F" w:rsidP="0069244F">
      <w:pPr>
        <w:pStyle w:val="ListParagraph"/>
        <w:numPr>
          <w:ilvl w:val="0"/>
          <w:numId w:val="11"/>
        </w:numPr>
      </w:pPr>
      <w:r>
        <w:t>IUPAP Conference Policies</w:t>
      </w:r>
    </w:p>
    <w:p w14:paraId="516B8BB1" w14:textId="7CA89F4F" w:rsidR="00E80C2F" w:rsidRDefault="00E80C2F" w:rsidP="0069244F">
      <w:pPr>
        <w:pStyle w:val="ListParagraph"/>
        <w:numPr>
          <w:ilvl w:val="1"/>
          <w:numId w:val="11"/>
        </w:numPr>
      </w:pPr>
      <w:r>
        <w:t xml:space="preserve">Conferences sponsored by IUPAP are expected to stick to the relevant policies, which can be found at </w:t>
      </w:r>
      <w:hyperlink r:id="rId13" w:history="1">
        <w:r w:rsidRPr="002227C6">
          <w:rPr>
            <w:rStyle w:val="Hyperlink"/>
          </w:rPr>
          <w:t>https://iupap.org/conferences/conference-policies/</w:t>
        </w:r>
      </w:hyperlink>
      <w:r>
        <w:t xml:space="preserve"> . Relevant policies will be found under ‘</w:t>
      </w:r>
      <w:r w:rsidRPr="00E80C2F">
        <w:t>Criteria By Which Applications Are Assessed</w:t>
      </w:r>
      <w:r>
        <w:t>’.</w:t>
      </w:r>
    </w:p>
    <w:p w14:paraId="664D7A64" w14:textId="404F751F" w:rsidR="00E80C2F" w:rsidRDefault="00E80C2F" w:rsidP="0069244F">
      <w:pPr>
        <w:pStyle w:val="ListParagraph"/>
        <w:numPr>
          <w:ilvl w:val="1"/>
          <w:numId w:val="11"/>
        </w:numPr>
      </w:pPr>
      <w:r>
        <w:t xml:space="preserve">A WG21-sponsored conference does not fall under the Commission conference types. </w:t>
      </w:r>
    </w:p>
    <w:p w14:paraId="039AD930" w14:textId="3008FB07" w:rsidR="00E80C2F" w:rsidRDefault="00E80C2F" w:rsidP="0069244F">
      <w:pPr>
        <w:pStyle w:val="ListParagraph"/>
        <w:numPr>
          <w:ilvl w:val="1"/>
          <w:numId w:val="11"/>
        </w:numPr>
      </w:pPr>
      <w:r>
        <w:t xml:space="preserve">A report on the conference is expected within 4 months of the conference. In addition, the form at </w:t>
      </w:r>
      <w:hyperlink r:id="rId14" w:history="1">
        <w:r w:rsidRPr="002227C6">
          <w:rPr>
            <w:rStyle w:val="Hyperlink"/>
          </w:rPr>
          <w:t>https://iupap.org/conferences/conference-report-form/</w:t>
        </w:r>
      </w:hyperlink>
      <w:r>
        <w:t xml:space="preserve"> , which gathers data used by IUPAP in evaluating conferences, should be completed within two months.</w:t>
      </w:r>
    </w:p>
    <w:p w14:paraId="27D8C7C1" w14:textId="5B13B365" w:rsidR="008A7011" w:rsidRDefault="008A7011" w:rsidP="008A7011">
      <w:pPr>
        <w:pStyle w:val="Heading1"/>
      </w:pPr>
      <w:r>
        <w:t>Dates</w:t>
      </w:r>
    </w:p>
    <w:p w14:paraId="6F5D790E" w14:textId="0F2169FE" w:rsidR="008A7011" w:rsidRDefault="008A7011" w:rsidP="008A7011">
      <w:pPr>
        <w:pStyle w:val="ListParagraph"/>
        <w:numPr>
          <w:ilvl w:val="0"/>
          <w:numId w:val="12"/>
        </w:numPr>
      </w:pPr>
      <w:r>
        <w:t>The conference itself should take place between October 2026 and December 2027.</w:t>
      </w:r>
    </w:p>
    <w:p w14:paraId="6FFA0AEA" w14:textId="77777777" w:rsidR="008A7011" w:rsidRDefault="008A7011" w:rsidP="008A7011">
      <w:pPr>
        <w:pStyle w:val="ListParagraph"/>
        <w:numPr>
          <w:ilvl w:val="0"/>
          <w:numId w:val="12"/>
        </w:numPr>
      </w:pPr>
      <w:r>
        <w:t>Please note that proposed dates should be checked and agreed with WG21 and IUPAP, since a number of other IUPAP conferences and meetings take place during the year.</w:t>
      </w:r>
    </w:p>
    <w:p w14:paraId="16520FAC" w14:textId="3B8E8A9F" w:rsidR="008A7011" w:rsidRDefault="008A7011" w:rsidP="008A7011">
      <w:pPr>
        <w:pStyle w:val="Heading1"/>
      </w:pPr>
      <w:r>
        <w:t>Contact</w:t>
      </w:r>
    </w:p>
    <w:p w14:paraId="0312E0E9" w14:textId="7235B73E" w:rsidR="008A7011" w:rsidRDefault="008A7011" w:rsidP="008A7011">
      <w:pPr>
        <w:spacing w:after="0" w:line="240" w:lineRule="auto"/>
      </w:pPr>
      <w:r>
        <w:t>The Secretary of Working Group 21</w:t>
      </w:r>
      <w:r w:rsidR="00BE1DF6">
        <w:t>,</w:t>
      </w:r>
    </w:p>
    <w:p w14:paraId="064B0AB6" w14:textId="77777777" w:rsidR="008A7011" w:rsidRDefault="008A7011" w:rsidP="008A7011">
      <w:pPr>
        <w:spacing w:after="0" w:line="240" w:lineRule="auto"/>
      </w:pPr>
      <w:r>
        <w:t xml:space="preserve">c/o the IUPAP </w:t>
      </w:r>
      <w:r w:rsidRPr="007509EB">
        <w:t>Secretariat</w:t>
      </w:r>
      <w:r>
        <w:t xml:space="preserve">, </w:t>
      </w:r>
      <w:hyperlink r:id="rId15" w:history="1">
        <w:r w:rsidRPr="00346785">
          <w:rPr>
            <w:rStyle w:val="Hyperlink"/>
          </w:rPr>
          <w:t>secretariat@iupap.org</w:t>
        </w:r>
      </w:hyperlink>
      <w:r>
        <w:t>.</w:t>
      </w:r>
    </w:p>
    <w:p w14:paraId="5E5893F6" w14:textId="77777777" w:rsidR="008A7011" w:rsidRPr="008A7011" w:rsidRDefault="008A7011" w:rsidP="008A7011"/>
    <w:sectPr w:rsidR="008A7011" w:rsidRPr="008A701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9EC4" w14:textId="77777777" w:rsidR="00032601" w:rsidRDefault="00032601" w:rsidP="003A7C9C">
      <w:pPr>
        <w:spacing w:after="0" w:line="240" w:lineRule="auto"/>
      </w:pPr>
      <w:r>
        <w:separator/>
      </w:r>
    </w:p>
  </w:endnote>
  <w:endnote w:type="continuationSeparator" w:id="0">
    <w:p w14:paraId="5A4124E2" w14:textId="77777777" w:rsidR="00032601" w:rsidRDefault="00032601" w:rsidP="003A7C9C">
      <w:pPr>
        <w:spacing w:after="0" w:line="240" w:lineRule="auto"/>
      </w:pPr>
      <w:r>
        <w:continuationSeparator/>
      </w:r>
    </w:p>
  </w:endnote>
  <w:endnote w:type="continuationNotice" w:id="1">
    <w:p w14:paraId="3DC73A43" w14:textId="77777777" w:rsidR="00032601" w:rsidRDefault="00032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909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7FC49" w14:textId="26B1BA2B" w:rsidR="005878CD" w:rsidRDefault="005878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9BA28" w14:textId="77777777" w:rsidR="003A7C9C" w:rsidRDefault="003A7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11A9C" w14:textId="77777777" w:rsidR="00032601" w:rsidRDefault="00032601" w:rsidP="003A7C9C">
      <w:pPr>
        <w:spacing w:after="0" w:line="240" w:lineRule="auto"/>
      </w:pPr>
      <w:r>
        <w:separator/>
      </w:r>
    </w:p>
  </w:footnote>
  <w:footnote w:type="continuationSeparator" w:id="0">
    <w:p w14:paraId="560A432D" w14:textId="77777777" w:rsidR="00032601" w:rsidRDefault="00032601" w:rsidP="003A7C9C">
      <w:pPr>
        <w:spacing w:after="0" w:line="240" w:lineRule="auto"/>
      </w:pPr>
      <w:r>
        <w:continuationSeparator/>
      </w:r>
    </w:p>
  </w:footnote>
  <w:footnote w:type="continuationNotice" w:id="1">
    <w:p w14:paraId="7B55B2EE" w14:textId="77777777" w:rsidR="00032601" w:rsidRDefault="00032601">
      <w:pPr>
        <w:spacing w:after="0" w:line="240" w:lineRule="auto"/>
      </w:pPr>
    </w:p>
  </w:footnote>
  <w:footnote w:id="2">
    <w:p w14:paraId="196AE12B" w14:textId="77777777" w:rsidR="00815649" w:rsidRDefault="00815649" w:rsidP="00815649">
      <w:pPr>
        <w:pStyle w:val="FootnoteText"/>
      </w:pPr>
      <w:r>
        <w:rPr>
          <w:rStyle w:val="FootnoteReference"/>
        </w:rPr>
        <w:footnoteRef/>
      </w:r>
      <w:r>
        <w:t xml:space="preserve"> Low- and Lower Middle Income Countries, World Bank</w:t>
      </w:r>
    </w:p>
  </w:footnote>
  <w:footnote w:id="3">
    <w:p w14:paraId="3C51002F" w14:textId="77777777" w:rsidR="0075003D" w:rsidRDefault="0075003D" w:rsidP="004A1217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hyperlink r:id="rId1" w:tooltip="https://www.nature.com/articles/s41550-021-01325-z" w:history="1">
        <w:r>
          <w:rPr>
            <w:rStyle w:val="Hyperlink"/>
            <w:rFonts w:ascii="Calibri" w:hAnsi="Calibri" w:cs="Calibri"/>
            <w:sz w:val="20"/>
            <w:szCs w:val="20"/>
          </w:rPr>
          <w:t>https://www.nature.com/articles/s41550-021-01325-z</w:t>
        </w:r>
      </w:hyperlink>
    </w:p>
    <w:p w14:paraId="0A80DE40" w14:textId="77777777" w:rsidR="0075003D" w:rsidRDefault="0075003D" w:rsidP="004A1217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kern w:val="0"/>
          <w:sz w:val="20"/>
          <w:szCs w:val="20"/>
        </w:rPr>
      </w:pPr>
      <w:hyperlink r:id="rId2" w:tooltip="https://youtu.be/TqCdsgTD1RA" w:history="1">
        <w:r>
          <w:rPr>
            <w:rStyle w:val="Hyperlink"/>
            <w:rFonts w:ascii="Calibri" w:hAnsi="Calibri" w:cs="Calibri"/>
            <w:sz w:val="20"/>
            <w:szCs w:val="20"/>
          </w:rPr>
          <w:t>https://youtu.be/TqCdsgTD1RA</w:t>
        </w:r>
      </w:hyperlink>
    </w:p>
    <w:p w14:paraId="0CDAE231" w14:textId="77777777" w:rsidR="0075003D" w:rsidRDefault="0075003D" w:rsidP="004A1217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hyperlink r:id="rId3" w:tooltip="https://youtu.be/_LuN3A15mUw" w:history="1">
        <w:r>
          <w:rPr>
            <w:rStyle w:val="Hyperlink"/>
            <w:rFonts w:ascii="Calibri" w:hAnsi="Calibri" w:cs="Calibri"/>
            <w:sz w:val="20"/>
            <w:szCs w:val="20"/>
          </w:rPr>
          <w:t>https://youtu.be/_LuN3A15mUw</w:t>
        </w:r>
      </w:hyperlink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561236DE" w14:textId="44243A55" w:rsidR="0075003D" w:rsidRDefault="0075003D" w:rsidP="004A1217">
      <w:pPr>
        <w:pStyle w:val="FootnoteText"/>
      </w:pPr>
      <w:hyperlink r:id="rId4" w:history="1">
        <w:r w:rsidRPr="00302760">
          <w:rPr>
            <w:rStyle w:val="Hyperlink"/>
            <w:rFonts w:ascii="Calibri" w:hAnsi="Calibri" w:cs="Calibri"/>
          </w:rPr>
          <w:t>https://www.nature.com/articles/s41550-022-01806-9</w:t>
        </w:r>
      </w:hyperlink>
    </w:p>
  </w:footnote>
  <w:footnote w:id="4">
    <w:p w14:paraId="348AC111" w14:textId="68D61322" w:rsidR="002729F1" w:rsidRDefault="002729F1">
      <w:pPr>
        <w:pStyle w:val="FootnoteText"/>
      </w:pPr>
      <w:r>
        <w:rPr>
          <w:rStyle w:val="FootnoteReference"/>
        </w:rPr>
        <w:footnoteRef/>
      </w:r>
      <w:r>
        <w:t xml:space="preserve"> Low- and Lower Middle Income Countries, World Bank</w:t>
      </w:r>
    </w:p>
  </w:footnote>
  <w:footnote w:id="5">
    <w:p w14:paraId="3B9B7CA7" w14:textId="7E2601D3" w:rsidR="002729F1" w:rsidRDefault="002729F1">
      <w:pPr>
        <w:pStyle w:val="FootnoteText"/>
      </w:pPr>
      <w:r>
        <w:rPr>
          <w:rStyle w:val="FootnoteReference"/>
        </w:rPr>
        <w:footnoteRef/>
      </w:r>
      <w:r>
        <w:t xml:space="preserve"> Upper Middle Income Countries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6E1"/>
    <w:multiLevelType w:val="hybridMultilevel"/>
    <w:tmpl w:val="01B24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0A74"/>
    <w:multiLevelType w:val="hybridMultilevel"/>
    <w:tmpl w:val="798E98B0"/>
    <w:lvl w:ilvl="0" w:tplc="177428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3066"/>
    <w:multiLevelType w:val="hybridMultilevel"/>
    <w:tmpl w:val="DA6A99F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B38AB"/>
    <w:multiLevelType w:val="hybridMultilevel"/>
    <w:tmpl w:val="7792B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40CF"/>
    <w:multiLevelType w:val="hybridMultilevel"/>
    <w:tmpl w:val="31A29A7E"/>
    <w:lvl w:ilvl="0" w:tplc="EE082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12578"/>
    <w:multiLevelType w:val="hybridMultilevel"/>
    <w:tmpl w:val="5E0C6E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68BD"/>
    <w:multiLevelType w:val="hybridMultilevel"/>
    <w:tmpl w:val="51A6DF72"/>
    <w:lvl w:ilvl="0" w:tplc="D9EAA45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4028A"/>
    <w:multiLevelType w:val="hybridMultilevel"/>
    <w:tmpl w:val="29C02B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71AB"/>
    <w:multiLevelType w:val="hybridMultilevel"/>
    <w:tmpl w:val="3BAA7A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2145"/>
    <w:multiLevelType w:val="hybridMultilevel"/>
    <w:tmpl w:val="01B24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B2334"/>
    <w:multiLevelType w:val="hybridMultilevel"/>
    <w:tmpl w:val="AEC40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32149"/>
    <w:multiLevelType w:val="hybridMultilevel"/>
    <w:tmpl w:val="AEC40C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046AF"/>
    <w:multiLevelType w:val="hybridMultilevel"/>
    <w:tmpl w:val="EEF4B6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6B4C2F"/>
    <w:multiLevelType w:val="multilevel"/>
    <w:tmpl w:val="60D4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3865656">
    <w:abstractNumId w:val="13"/>
  </w:num>
  <w:num w:numId="2" w16cid:durableId="453523478">
    <w:abstractNumId w:val="13"/>
  </w:num>
  <w:num w:numId="3" w16cid:durableId="166557412">
    <w:abstractNumId w:val="11"/>
  </w:num>
  <w:num w:numId="4" w16cid:durableId="109932587">
    <w:abstractNumId w:val="0"/>
  </w:num>
  <w:num w:numId="5" w16cid:durableId="816149091">
    <w:abstractNumId w:val="8"/>
  </w:num>
  <w:num w:numId="6" w16cid:durableId="847788742">
    <w:abstractNumId w:val="4"/>
  </w:num>
  <w:num w:numId="7" w16cid:durableId="239100374">
    <w:abstractNumId w:val="7"/>
  </w:num>
  <w:num w:numId="8" w16cid:durableId="1727217520">
    <w:abstractNumId w:val="6"/>
  </w:num>
  <w:num w:numId="9" w16cid:durableId="1284076922">
    <w:abstractNumId w:val="5"/>
  </w:num>
  <w:num w:numId="10" w16cid:durableId="365377803">
    <w:abstractNumId w:val="9"/>
  </w:num>
  <w:num w:numId="11" w16cid:durableId="1692222871">
    <w:abstractNumId w:val="1"/>
  </w:num>
  <w:num w:numId="12" w16cid:durableId="1506632046">
    <w:abstractNumId w:val="3"/>
  </w:num>
  <w:num w:numId="13" w16cid:durableId="753550313">
    <w:abstractNumId w:val="10"/>
  </w:num>
  <w:num w:numId="14" w16cid:durableId="1479111709">
    <w:abstractNumId w:val="12"/>
  </w:num>
  <w:num w:numId="15" w16cid:durableId="55948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CA"/>
    <w:rsid w:val="00012C14"/>
    <w:rsid w:val="000233E1"/>
    <w:rsid w:val="00032601"/>
    <w:rsid w:val="00041685"/>
    <w:rsid w:val="00043B52"/>
    <w:rsid w:val="000E19E5"/>
    <w:rsid w:val="000F6558"/>
    <w:rsid w:val="00143C9B"/>
    <w:rsid w:val="001960D2"/>
    <w:rsid w:val="001A1FF5"/>
    <w:rsid w:val="001D2BA3"/>
    <w:rsid w:val="001F0A9A"/>
    <w:rsid w:val="002174A8"/>
    <w:rsid w:val="00236483"/>
    <w:rsid w:val="00244DB7"/>
    <w:rsid w:val="002478C8"/>
    <w:rsid w:val="002729F1"/>
    <w:rsid w:val="002D4DB7"/>
    <w:rsid w:val="0030511A"/>
    <w:rsid w:val="00307D36"/>
    <w:rsid w:val="003230CE"/>
    <w:rsid w:val="00331E1F"/>
    <w:rsid w:val="00357066"/>
    <w:rsid w:val="00362BA5"/>
    <w:rsid w:val="00373A55"/>
    <w:rsid w:val="00382564"/>
    <w:rsid w:val="0039780A"/>
    <w:rsid w:val="003A26B4"/>
    <w:rsid w:val="003A7C9C"/>
    <w:rsid w:val="0041599A"/>
    <w:rsid w:val="0044078B"/>
    <w:rsid w:val="00443337"/>
    <w:rsid w:val="004803F0"/>
    <w:rsid w:val="004A1217"/>
    <w:rsid w:val="004B5462"/>
    <w:rsid w:val="004C2DAA"/>
    <w:rsid w:val="004D1448"/>
    <w:rsid w:val="004D7294"/>
    <w:rsid w:val="00506174"/>
    <w:rsid w:val="00506D52"/>
    <w:rsid w:val="00570A3F"/>
    <w:rsid w:val="005878CD"/>
    <w:rsid w:val="005A4FF2"/>
    <w:rsid w:val="005B13A0"/>
    <w:rsid w:val="005E0184"/>
    <w:rsid w:val="0065183A"/>
    <w:rsid w:val="0069244F"/>
    <w:rsid w:val="006A3844"/>
    <w:rsid w:val="006A4CFA"/>
    <w:rsid w:val="006C6CA8"/>
    <w:rsid w:val="006D3AB8"/>
    <w:rsid w:val="00704849"/>
    <w:rsid w:val="00707328"/>
    <w:rsid w:val="0073505D"/>
    <w:rsid w:val="0075003D"/>
    <w:rsid w:val="0076424F"/>
    <w:rsid w:val="00773ACA"/>
    <w:rsid w:val="0077570C"/>
    <w:rsid w:val="0079192D"/>
    <w:rsid w:val="007C792D"/>
    <w:rsid w:val="007D3BC9"/>
    <w:rsid w:val="007F4A90"/>
    <w:rsid w:val="007F4E3B"/>
    <w:rsid w:val="00802D18"/>
    <w:rsid w:val="00802DD7"/>
    <w:rsid w:val="00815649"/>
    <w:rsid w:val="0087773E"/>
    <w:rsid w:val="008A7011"/>
    <w:rsid w:val="008B3726"/>
    <w:rsid w:val="008D2B2A"/>
    <w:rsid w:val="008E0FC1"/>
    <w:rsid w:val="008F4FBC"/>
    <w:rsid w:val="00973BDB"/>
    <w:rsid w:val="00987959"/>
    <w:rsid w:val="009963A9"/>
    <w:rsid w:val="009A26DA"/>
    <w:rsid w:val="009B49EB"/>
    <w:rsid w:val="009D0C2A"/>
    <w:rsid w:val="009F5A96"/>
    <w:rsid w:val="00A128C6"/>
    <w:rsid w:val="00A16E4E"/>
    <w:rsid w:val="00A34F06"/>
    <w:rsid w:val="00A370C1"/>
    <w:rsid w:val="00A533D4"/>
    <w:rsid w:val="00A538C0"/>
    <w:rsid w:val="00AD1E95"/>
    <w:rsid w:val="00AF28DF"/>
    <w:rsid w:val="00B00C14"/>
    <w:rsid w:val="00B7638E"/>
    <w:rsid w:val="00B86821"/>
    <w:rsid w:val="00B921FB"/>
    <w:rsid w:val="00B9259E"/>
    <w:rsid w:val="00BC51A5"/>
    <w:rsid w:val="00BE1DF6"/>
    <w:rsid w:val="00C009CF"/>
    <w:rsid w:val="00C10824"/>
    <w:rsid w:val="00C136E7"/>
    <w:rsid w:val="00C23F1E"/>
    <w:rsid w:val="00C4166D"/>
    <w:rsid w:val="00C45FF8"/>
    <w:rsid w:val="00C521AF"/>
    <w:rsid w:val="00C73C07"/>
    <w:rsid w:val="00C977C5"/>
    <w:rsid w:val="00CA076B"/>
    <w:rsid w:val="00CA1443"/>
    <w:rsid w:val="00CA5399"/>
    <w:rsid w:val="00CA595A"/>
    <w:rsid w:val="00CB2768"/>
    <w:rsid w:val="00CD6EA6"/>
    <w:rsid w:val="00CE51D5"/>
    <w:rsid w:val="00D32D25"/>
    <w:rsid w:val="00D7259A"/>
    <w:rsid w:val="00D91692"/>
    <w:rsid w:val="00DA1105"/>
    <w:rsid w:val="00DB29BB"/>
    <w:rsid w:val="00DB37AA"/>
    <w:rsid w:val="00DC7A5D"/>
    <w:rsid w:val="00DD201F"/>
    <w:rsid w:val="00DD7BF2"/>
    <w:rsid w:val="00E07A36"/>
    <w:rsid w:val="00E447CA"/>
    <w:rsid w:val="00E469A8"/>
    <w:rsid w:val="00E53A73"/>
    <w:rsid w:val="00E547F7"/>
    <w:rsid w:val="00E5757F"/>
    <w:rsid w:val="00E575CD"/>
    <w:rsid w:val="00E80C2F"/>
    <w:rsid w:val="00E81EF1"/>
    <w:rsid w:val="00ED15CE"/>
    <w:rsid w:val="00EE4F98"/>
    <w:rsid w:val="00F108E3"/>
    <w:rsid w:val="00F326F8"/>
    <w:rsid w:val="00F76A95"/>
    <w:rsid w:val="00FC0722"/>
    <w:rsid w:val="00FC633A"/>
    <w:rsid w:val="00F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E61E"/>
  <w15:chartTrackingRefBased/>
  <w15:docId w15:val="{92744EA3-53C2-45B6-9A2D-F94ABC8C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F8"/>
  </w:style>
  <w:style w:type="paragraph" w:styleId="Heading1">
    <w:name w:val="heading 1"/>
    <w:basedOn w:val="ListParagraph"/>
    <w:next w:val="Normal"/>
    <w:link w:val="Heading1Char"/>
    <w:uiPriority w:val="9"/>
    <w:qFormat/>
    <w:rsid w:val="00EE4F98"/>
    <w:pPr>
      <w:numPr>
        <w:numId w:val="8"/>
      </w:numPr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326F8"/>
    <w:pPr>
      <w:numPr>
        <w:ilvl w:val="1"/>
      </w:numPr>
      <w:outlineLvl w:val="1"/>
    </w:pPr>
    <w:rPr>
      <w:rFonts w:cstheme="minorHAns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6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6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6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6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6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6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6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F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326F8"/>
    <w:rPr>
      <w:rFonts w:eastAsia="Times New Roman" w:cstheme="minorHAnsi"/>
      <w:sz w:val="24"/>
      <w:szCs w:val="24"/>
      <w:bdr w:val="none" w:sz="0" w:space="0" w:color="auto" w:frame="1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6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6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6F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6F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6F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6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6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32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6F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26F8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26F8"/>
    <w:pPr>
      <w:spacing w:after="0" w:line="240" w:lineRule="auto"/>
      <w:contextualSpacing/>
    </w:pPr>
    <w:rPr>
      <w:rFonts w:asciiTheme="majorHAnsi" w:eastAsia="Times New Roman" w:hAnsiTheme="majorHAnsi" w:cstheme="majorBidi"/>
      <w:spacing w:val="-10"/>
      <w:kern w:val="28"/>
      <w:sz w:val="28"/>
      <w:szCs w:val="28"/>
      <w:lang w:eastAsia="en-ZA"/>
    </w:rPr>
  </w:style>
  <w:style w:type="character" w:customStyle="1" w:styleId="TitleChar">
    <w:name w:val="Title Char"/>
    <w:basedOn w:val="DefaultParagraphFont"/>
    <w:link w:val="Title"/>
    <w:uiPriority w:val="10"/>
    <w:rsid w:val="00F326F8"/>
    <w:rPr>
      <w:rFonts w:asciiTheme="majorHAnsi" w:eastAsia="Times New Roman" w:hAnsiTheme="majorHAnsi" w:cstheme="majorBidi"/>
      <w:spacing w:val="-10"/>
      <w:kern w:val="28"/>
      <w:sz w:val="28"/>
      <w:szCs w:val="28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6F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9C"/>
  </w:style>
  <w:style w:type="paragraph" w:styleId="Footer">
    <w:name w:val="footer"/>
    <w:basedOn w:val="Normal"/>
    <w:link w:val="FooterChar"/>
    <w:uiPriority w:val="99"/>
    <w:unhideWhenUsed/>
    <w:rsid w:val="003A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9C"/>
  </w:style>
  <w:style w:type="paragraph" w:styleId="Revision">
    <w:name w:val="Revision"/>
    <w:hidden/>
    <w:uiPriority w:val="99"/>
    <w:semiHidden/>
    <w:rsid w:val="004C2D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0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C2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9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9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9F1"/>
    <w:rPr>
      <w:vertAlign w:val="superscript"/>
    </w:rPr>
  </w:style>
  <w:style w:type="table" w:styleId="TableGrid">
    <w:name w:val="Table Grid"/>
    <w:basedOn w:val="TableNormal"/>
    <w:uiPriority w:val="39"/>
    <w:rsid w:val="00E5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500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00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003D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75003D"/>
    <w:rPr>
      <w:b/>
      <w:bCs/>
      <w:smallCaps/>
      <w:color w:val="2F5496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50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upap.org/conferences/conference-polic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upap.org/conferences/conference-polic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cretariat@iupap.or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upap.org/conferences/conference-report-form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youtu.be/_LuN3A15mUw" TargetMode="External"/><Relationship Id="rId2" Type="http://schemas.openxmlformats.org/officeDocument/2006/relationships/hyperlink" Target="https://youtu.be/TqCdsgTD1RA" TargetMode="External"/><Relationship Id="rId1" Type="http://schemas.openxmlformats.org/officeDocument/2006/relationships/hyperlink" Target="https://www.nature.com/articles/s41550-021-01325-z" TargetMode="External"/><Relationship Id="rId4" Type="http://schemas.openxmlformats.org/officeDocument/2006/relationships/hyperlink" Target="https://www.nature.com/articles/s41550-022-01806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D687-FCAF-4EEA-A582-FD7E08AC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2317</Words>
  <Characters>12376</Characters>
  <Application>Microsoft Office Word</Application>
  <DocSecurity>0</DocSecurity>
  <Lines>309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2024-12-02T09:48:00Z</dcterms:created>
  <dcterms:modified xsi:type="dcterms:W3CDTF">2024-12-02T09:48:00Z</dcterms:modified>
</cp:coreProperties>
</file>